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164" w:rsidRDefault="003C1164">
      <w:pPr>
        <w:pStyle w:val="BodyText"/>
        <w:rPr>
          <w:rFonts w:ascii="Times New Roman"/>
          <w:sz w:val="20"/>
        </w:rPr>
      </w:pPr>
    </w:p>
    <w:p w:rsidR="003C1164" w:rsidRDefault="003C1164">
      <w:pPr>
        <w:pStyle w:val="BodyText"/>
        <w:spacing w:after="1"/>
        <w:rPr>
          <w:rFonts w:ascii="Times New Roman"/>
          <w:sz w:val="20"/>
        </w:rPr>
      </w:pPr>
    </w:p>
    <w:p w:rsidR="003C1164" w:rsidRDefault="00EB6F6D">
      <w:pPr>
        <w:pStyle w:val="BodyText"/>
        <w:ind w:left="105"/>
        <w:rPr>
          <w:rFonts w:ascii="Times New Roman"/>
          <w:sz w:val="20"/>
        </w:rPr>
      </w:pPr>
      <w:r>
        <w:rPr>
          <w:rFonts w:ascii="Times New Roman"/>
          <w:noProof/>
          <w:sz w:val="20"/>
          <w:lang w:val="en-US"/>
        </w:rPr>
        <mc:AlternateContent>
          <mc:Choice Requires="wpg">
            <w:drawing>
              <wp:inline distT="0" distB="0" distL="0" distR="0">
                <wp:extent cx="6174105" cy="1294130"/>
                <wp:effectExtent l="0" t="4445" r="7620" b="6350"/>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4105" cy="1294130"/>
                          <a:chOff x="0" y="0"/>
                          <a:chExt cx="9723" cy="2038"/>
                        </a:xfrm>
                      </wpg:grpSpPr>
                      <wps:wsp>
                        <wps:cNvPr id="11" name="Rectangle 7"/>
                        <wps:cNvSpPr>
                          <a:spLocks noChangeArrowheads="1"/>
                        </wps:cNvSpPr>
                        <wps:spPr bwMode="auto">
                          <a:xfrm>
                            <a:off x="14" y="14"/>
                            <a:ext cx="9694" cy="2009"/>
                          </a:xfrm>
                          <a:prstGeom prst="rect">
                            <a:avLst/>
                          </a:prstGeom>
                          <a:solidFill>
                            <a:srgbClr val="5B9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6"/>
                        <wps:cNvSpPr>
                          <a:spLocks/>
                        </wps:cNvSpPr>
                        <wps:spPr bwMode="auto">
                          <a:xfrm>
                            <a:off x="0" y="0"/>
                            <a:ext cx="9723" cy="2038"/>
                          </a:xfrm>
                          <a:custGeom>
                            <a:avLst/>
                            <a:gdLst>
                              <a:gd name="T0" fmla="*/ 9722 w 9723"/>
                              <a:gd name="T1" fmla="*/ 2038 h 2038"/>
                              <a:gd name="T2" fmla="*/ 0 w 9723"/>
                              <a:gd name="T3" fmla="*/ 2038 h 2038"/>
                              <a:gd name="T4" fmla="*/ 0 w 9723"/>
                              <a:gd name="T5" fmla="*/ 0 h 2038"/>
                              <a:gd name="T6" fmla="*/ 9722 w 9723"/>
                              <a:gd name="T7" fmla="*/ 0 h 2038"/>
                              <a:gd name="T8" fmla="*/ 9722 w 9723"/>
                              <a:gd name="T9" fmla="*/ 14 h 2038"/>
                              <a:gd name="T10" fmla="*/ 31 w 9723"/>
                              <a:gd name="T11" fmla="*/ 14 h 2038"/>
                              <a:gd name="T12" fmla="*/ 14 w 9723"/>
                              <a:gd name="T13" fmla="*/ 29 h 2038"/>
                              <a:gd name="T14" fmla="*/ 31 w 9723"/>
                              <a:gd name="T15" fmla="*/ 29 h 2038"/>
                              <a:gd name="T16" fmla="*/ 31 w 9723"/>
                              <a:gd name="T17" fmla="*/ 2009 h 2038"/>
                              <a:gd name="T18" fmla="*/ 14 w 9723"/>
                              <a:gd name="T19" fmla="*/ 2009 h 2038"/>
                              <a:gd name="T20" fmla="*/ 31 w 9723"/>
                              <a:gd name="T21" fmla="*/ 2023 h 2038"/>
                              <a:gd name="T22" fmla="*/ 9722 w 9723"/>
                              <a:gd name="T23" fmla="*/ 2023 h 2038"/>
                              <a:gd name="T24" fmla="*/ 9722 w 9723"/>
                              <a:gd name="T25" fmla="*/ 2038 h 2038"/>
                              <a:gd name="T26" fmla="*/ 31 w 9723"/>
                              <a:gd name="T27" fmla="*/ 29 h 2038"/>
                              <a:gd name="T28" fmla="*/ 14 w 9723"/>
                              <a:gd name="T29" fmla="*/ 29 h 2038"/>
                              <a:gd name="T30" fmla="*/ 31 w 9723"/>
                              <a:gd name="T31" fmla="*/ 14 h 2038"/>
                              <a:gd name="T32" fmla="*/ 31 w 9723"/>
                              <a:gd name="T33" fmla="*/ 29 h 2038"/>
                              <a:gd name="T34" fmla="*/ 9694 w 9723"/>
                              <a:gd name="T35" fmla="*/ 29 h 2038"/>
                              <a:gd name="T36" fmla="*/ 31 w 9723"/>
                              <a:gd name="T37" fmla="*/ 29 h 2038"/>
                              <a:gd name="T38" fmla="*/ 31 w 9723"/>
                              <a:gd name="T39" fmla="*/ 14 h 2038"/>
                              <a:gd name="T40" fmla="*/ 9694 w 9723"/>
                              <a:gd name="T41" fmla="*/ 14 h 2038"/>
                              <a:gd name="T42" fmla="*/ 9694 w 9723"/>
                              <a:gd name="T43" fmla="*/ 29 h 2038"/>
                              <a:gd name="T44" fmla="*/ 9694 w 9723"/>
                              <a:gd name="T45" fmla="*/ 2023 h 2038"/>
                              <a:gd name="T46" fmla="*/ 9694 w 9723"/>
                              <a:gd name="T47" fmla="*/ 14 h 2038"/>
                              <a:gd name="T48" fmla="*/ 9708 w 9723"/>
                              <a:gd name="T49" fmla="*/ 29 h 2038"/>
                              <a:gd name="T50" fmla="*/ 9722 w 9723"/>
                              <a:gd name="T51" fmla="*/ 29 h 2038"/>
                              <a:gd name="T52" fmla="*/ 9722 w 9723"/>
                              <a:gd name="T53" fmla="*/ 2009 h 2038"/>
                              <a:gd name="T54" fmla="*/ 9708 w 9723"/>
                              <a:gd name="T55" fmla="*/ 2009 h 2038"/>
                              <a:gd name="T56" fmla="*/ 9694 w 9723"/>
                              <a:gd name="T57" fmla="*/ 2023 h 2038"/>
                              <a:gd name="T58" fmla="*/ 9722 w 9723"/>
                              <a:gd name="T59" fmla="*/ 29 h 2038"/>
                              <a:gd name="T60" fmla="*/ 9708 w 9723"/>
                              <a:gd name="T61" fmla="*/ 29 h 2038"/>
                              <a:gd name="T62" fmla="*/ 9694 w 9723"/>
                              <a:gd name="T63" fmla="*/ 14 h 2038"/>
                              <a:gd name="T64" fmla="*/ 9722 w 9723"/>
                              <a:gd name="T65" fmla="*/ 14 h 2038"/>
                              <a:gd name="T66" fmla="*/ 9722 w 9723"/>
                              <a:gd name="T67" fmla="*/ 29 h 2038"/>
                              <a:gd name="T68" fmla="*/ 31 w 9723"/>
                              <a:gd name="T69" fmla="*/ 2023 h 2038"/>
                              <a:gd name="T70" fmla="*/ 14 w 9723"/>
                              <a:gd name="T71" fmla="*/ 2009 h 2038"/>
                              <a:gd name="T72" fmla="*/ 31 w 9723"/>
                              <a:gd name="T73" fmla="*/ 2009 h 2038"/>
                              <a:gd name="T74" fmla="*/ 31 w 9723"/>
                              <a:gd name="T75" fmla="*/ 2023 h 2038"/>
                              <a:gd name="T76" fmla="*/ 9694 w 9723"/>
                              <a:gd name="T77" fmla="*/ 2023 h 2038"/>
                              <a:gd name="T78" fmla="*/ 31 w 9723"/>
                              <a:gd name="T79" fmla="*/ 2023 h 2038"/>
                              <a:gd name="T80" fmla="*/ 31 w 9723"/>
                              <a:gd name="T81" fmla="*/ 2009 h 2038"/>
                              <a:gd name="T82" fmla="*/ 9694 w 9723"/>
                              <a:gd name="T83" fmla="*/ 2009 h 2038"/>
                              <a:gd name="T84" fmla="*/ 9694 w 9723"/>
                              <a:gd name="T85" fmla="*/ 2023 h 2038"/>
                              <a:gd name="T86" fmla="*/ 9722 w 9723"/>
                              <a:gd name="T87" fmla="*/ 2023 h 2038"/>
                              <a:gd name="T88" fmla="*/ 9694 w 9723"/>
                              <a:gd name="T89" fmla="*/ 2023 h 2038"/>
                              <a:gd name="T90" fmla="*/ 9708 w 9723"/>
                              <a:gd name="T91" fmla="*/ 2009 h 2038"/>
                              <a:gd name="T92" fmla="*/ 9722 w 9723"/>
                              <a:gd name="T93" fmla="*/ 2009 h 2038"/>
                              <a:gd name="T94" fmla="*/ 9722 w 9723"/>
                              <a:gd name="T95" fmla="*/ 2023 h 2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723" h="2038">
                                <a:moveTo>
                                  <a:pt x="9722" y="2038"/>
                                </a:moveTo>
                                <a:lnTo>
                                  <a:pt x="0" y="2038"/>
                                </a:lnTo>
                                <a:lnTo>
                                  <a:pt x="0" y="0"/>
                                </a:lnTo>
                                <a:lnTo>
                                  <a:pt x="9722" y="0"/>
                                </a:lnTo>
                                <a:lnTo>
                                  <a:pt x="9722" y="14"/>
                                </a:lnTo>
                                <a:lnTo>
                                  <a:pt x="31" y="14"/>
                                </a:lnTo>
                                <a:lnTo>
                                  <a:pt x="14" y="29"/>
                                </a:lnTo>
                                <a:lnTo>
                                  <a:pt x="31" y="29"/>
                                </a:lnTo>
                                <a:lnTo>
                                  <a:pt x="31" y="2009"/>
                                </a:lnTo>
                                <a:lnTo>
                                  <a:pt x="14" y="2009"/>
                                </a:lnTo>
                                <a:lnTo>
                                  <a:pt x="31" y="2023"/>
                                </a:lnTo>
                                <a:lnTo>
                                  <a:pt x="9722" y="2023"/>
                                </a:lnTo>
                                <a:lnTo>
                                  <a:pt x="9722" y="2038"/>
                                </a:lnTo>
                                <a:close/>
                                <a:moveTo>
                                  <a:pt x="31" y="29"/>
                                </a:moveTo>
                                <a:lnTo>
                                  <a:pt x="14" y="29"/>
                                </a:lnTo>
                                <a:lnTo>
                                  <a:pt x="31" y="14"/>
                                </a:lnTo>
                                <a:lnTo>
                                  <a:pt x="31" y="29"/>
                                </a:lnTo>
                                <a:close/>
                                <a:moveTo>
                                  <a:pt x="9694" y="29"/>
                                </a:moveTo>
                                <a:lnTo>
                                  <a:pt x="31" y="29"/>
                                </a:lnTo>
                                <a:lnTo>
                                  <a:pt x="31" y="14"/>
                                </a:lnTo>
                                <a:lnTo>
                                  <a:pt x="9694" y="14"/>
                                </a:lnTo>
                                <a:lnTo>
                                  <a:pt x="9694" y="29"/>
                                </a:lnTo>
                                <a:close/>
                                <a:moveTo>
                                  <a:pt x="9694" y="2023"/>
                                </a:moveTo>
                                <a:lnTo>
                                  <a:pt x="9694" y="14"/>
                                </a:lnTo>
                                <a:lnTo>
                                  <a:pt x="9708" y="29"/>
                                </a:lnTo>
                                <a:lnTo>
                                  <a:pt x="9722" y="29"/>
                                </a:lnTo>
                                <a:lnTo>
                                  <a:pt x="9722" y="2009"/>
                                </a:lnTo>
                                <a:lnTo>
                                  <a:pt x="9708" y="2009"/>
                                </a:lnTo>
                                <a:lnTo>
                                  <a:pt x="9694" y="2023"/>
                                </a:lnTo>
                                <a:close/>
                                <a:moveTo>
                                  <a:pt x="9722" y="29"/>
                                </a:moveTo>
                                <a:lnTo>
                                  <a:pt x="9708" y="29"/>
                                </a:lnTo>
                                <a:lnTo>
                                  <a:pt x="9694" y="14"/>
                                </a:lnTo>
                                <a:lnTo>
                                  <a:pt x="9722" y="14"/>
                                </a:lnTo>
                                <a:lnTo>
                                  <a:pt x="9722" y="29"/>
                                </a:lnTo>
                                <a:close/>
                                <a:moveTo>
                                  <a:pt x="31" y="2023"/>
                                </a:moveTo>
                                <a:lnTo>
                                  <a:pt x="14" y="2009"/>
                                </a:lnTo>
                                <a:lnTo>
                                  <a:pt x="31" y="2009"/>
                                </a:lnTo>
                                <a:lnTo>
                                  <a:pt x="31" y="2023"/>
                                </a:lnTo>
                                <a:close/>
                                <a:moveTo>
                                  <a:pt x="9694" y="2023"/>
                                </a:moveTo>
                                <a:lnTo>
                                  <a:pt x="31" y="2023"/>
                                </a:lnTo>
                                <a:lnTo>
                                  <a:pt x="31" y="2009"/>
                                </a:lnTo>
                                <a:lnTo>
                                  <a:pt x="9694" y="2009"/>
                                </a:lnTo>
                                <a:lnTo>
                                  <a:pt x="9694" y="2023"/>
                                </a:lnTo>
                                <a:close/>
                                <a:moveTo>
                                  <a:pt x="9722" y="2023"/>
                                </a:moveTo>
                                <a:lnTo>
                                  <a:pt x="9694" y="2023"/>
                                </a:lnTo>
                                <a:lnTo>
                                  <a:pt x="9708" y="2009"/>
                                </a:lnTo>
                                <a:lnTo>
                                  <a:pt x="9722" y="2009"/>
                                </a:lnTo>
                                <a:lnTo>
                                  <a:pt x="9722" y="20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5"/>
                        <wps:cNvSpPr txBox="1">
                          <a:spLocks noChangeArrowheads="1"/>
                        </wps:cNvSpPr>
                        <wps:spPr bwMode="auto">
                          <a:xfrm>
                            <a:off x="14" y="14"/>
                            <a:ext cx="9694" cy="2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164" w:rsidRDefault="00B92574">
                              <w:pPr>
                                <w:spacing w:before="83" w:line="242" w:lineRule="auto"/>
                                <w:ind w:left="487" w:right="498" w:firstLine="6"/>
                                <w:jc w:val="center"/>
                                <w:rPr>
                                  <w:b/>
                                  <w:sz w:val="40"/>
                                </w:rPr>
                              </w:pPr>
                              <w:r>
                                <w:rPr>
                                  <w:b/>
                                  <w:color w:val="FFFFFF"/>
                                  <w:sz w:val="40"/>
                                </w:rPr>
                                <w:t>Una guía para pacientes considerados no culpables por motivo de demencia («NGRI») en Western State Hospital y Eastern State Hospital</w:t>
                              </w:r>
                            </w:p>
                          </w:txbxContent>
                        </wps:txbx>
                        <wps:bodyPr rot="0" vert="horz" wrap="square" lIns="0" tIns="0" rIns="0" bIns="0" anchor="t" anchorCtr="0" upright="1">
                          <a:noAutofit/>
                        </wps:bodyPr>
                      </wps:wsp>
                    </wpg:wgp>
                  </a:graphicData>
                </a:graphic>
              </wp:inline>
            </w:drawing>
          </mc:Choice>
          <mc:Fallback>
            <w:pict>
              <v:group id="Group 4" o:spid="_x0000_s1026" style="width:486.15pt;height:101.9pt;mso-position-horizontal-relative:char;mso-position-vertical-relative:line" coordsize="9723,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">
                <v:rect id="Rectangle 7" o:spid="_x0000_s1027" style="position:absolute;left:14;top:14;width:9694;height:2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xqcMA&#10;AADbAAAADwAAAGRycy9kb3ducmV2LnhtbERPTWvCQBC9C/6HZYRepG4UqpJmI9ZSCPSi0UOPQ3aa&#10;BLOzIbuJaX99tyB4m8f7nGQ3mkYM1LnasoLlIgJBXFhdc6ngcv543oJwHlljY5kU/JCDXTqdJBhr&#10;e+MTDbkvRQhhF6OCyvs2ltIVFRl0C9sSB+7bdgZ9gF0pdYe3EG4auYqitTRYc2iosKVDRcU1742C&#10;edMP69Om/zp6fvvMf1fZy/shU+ppNu5fQXga/UN8d2c6zF/C/y/h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qxqcMAAADbAAAADwAAAAAAAAAAAAAAAACYAgAAZHJzL2Rv&#10;d25yZXYueG1sUEsFBgAAAAAEAAQA9QAAAIgDAAAAAA==&#10;" fillcolor="#5b9ad4" stroked="f"/>
                <v:shape id="AutoShape 6" o:spid="_x0000_s1028" style="position:absolute;width:9723;height:2038;visibility:visible;mso-wrap-style:square;v-text-anchor:top" coordsize="9723,2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BsEA&#10;AADbAAAADwAAAGRycy9kb3ducmV2LnhtbERPTWsCMRC9C/6HMIIX0ayCRbdG0UJLT9Kq0B6HzXSz&#10;uJmsSXTXf28Khd7m8T5ntelsLW7kQ+VYwXSSgSAunK64VHA6vo4XIEJE1lg7JgV3CrBZ93srzLVr&#10;+ZNuh1iKFMIhRwUmxiaXMhSGLIaJa4gT9+O8xZigL6X22KZwW8tZlj1JixWnBoMNvRgqzoerVcAj&#10;U38v3naXva22H2bul1/cRqWGg277DCJSF//Ff+53nebP4PeXdI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cJwbBAAAA2wAAAA8AAAAAAAAAAAAAAAAAmAIAAGRycy9kb3du&#10;cmV2LnhtbFBLBQYAAAAABAAEAPUAAACGAwAAAAA=&#10;" path="m9722,2038l,2038,,,9722,r,14l31,14,14,29r17,l31,2009r-17,l31,2023r9691,l9722,2038xm31,29r-17,l31,14r,15xm9694,29l31,29r,-15l9694,14r,15xm9694,2023r,-2009l9708,29r14,l9722,2009r-14,l9694,2023xm9722,29r-14,l9694,14r28,l9722,29xm31,2023l14,2009r17,l31,2023xm9694,2023r-9663,l31,2009r9663,l9694,2023xm9722,2023r-28,l9708,2009r14,l9722,2023xe" stroked="f">
                  <v:path arrowok="t" o:connecttype="custom" o:connectlocs="9722,2038;0,2038;0,0;9722,0;9722,14;31,14;14,29;31,29;31,2009;14,2009;31,2023;9722,2023;9722,2038;31,29;14,29;31,14;31,29;9694,29;31,29;31,14;9694,14;9694,29;9694,2023;9694,14;9708,29;9722,29;9722,2009;9708,2009;9694,2023;9722,29;9708,29;9694,14;9722,14;9722,29;31,2023;14,2009;31,2009;31,2023;9694,2023;31,2023;31,2009;9694,2009;9694,2023;9722,2023;9694,2023;9708,2009;9722,2009;9722,2023" o:connectangles="0,0,0,0,0,0,0,0,0,0,0,0,0,0,0,0,0,0,0,0,0,0,0,0,0,0,0,0,0,0,0,0,0,0,0,0,0,0,0,0,0,0,0,0,0,0,0,0"/>
                </v:shape>
                <v:shapetype id="_x0000_t202" coordsize="21600,21600" o:spt="202" path="m,l,21600r21600,l21600,xe">
                  <v:stroke joinstyle="miter"/>
                  <v:path gradientshapeok="t" o:connecttype="rect"/>
                </v:shapetype>
                <v:shape id="_x0000_s1029" type="#_x0000_t202" style="position:absolute;left:14;top:14;width:9694;height:2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3C1164" w:rsidRDefault="00B92574">
                        <w:pPr>
                          <w:spacing w:before="83" w:line="242" w:lineRule="auto"/>
                          <w:ind w:left="487" w:right="498" w:firstLine="6"/>
                          <w:jc w:val="center"/>
                          <w:rPr>
                            <w:b/>
                            <w:sz w:val="40"/>
                          </w:rPr>
                        </w:pPr>
                        <w:r>
                          <w:rPr>
                            <w:b/>
                            <w:color w:val="FFFFFF"/>
                            <w:sz w:val="40"/>
                          </w:rPr>
                          <w:t>Una guía para pacientes considerados no culpables por motivo de demencia («NGRI») en Western State Hospital y Eastern State Hospital</w:t>
                        </w:r>
                      </w:p>
                    </w:txbxContent>
                  </v:textbox>
                </v:shape>
                <w10:anchorlock/>
              </v:group>
            </w:pict>
          </mc:Fallback>
        </mc:AlternateContent>
      </w:r>
    </w:p>
    <w:p w:rsidR="003C1164" w:rsidRDefault="003C1164">
      <w:pPr>
        <w:pStyle w:val="BodyText"/>
        <w:spacing w:before="3"/>
        <w:rPr>
          <w:rFonts w:ascii="Times New Roman"/>
          <w:sz w:val="13"/>
        </w:rPr>
      </w:pPr>
    </w:p>
    <w:p w:rsidR="003C1164" w:rsidRDefault="00B92574">
      <w:pPr>
        <w:pStyle w:val="Heading1"/>
        <w:spacing w:before="91"/>
        <w:ind w:left="1200" w:firstLine="0"/>
      </w:pPr>
      <w:r>
        <w:rPr>
          <w:u w:val="thick"/>
        </w:rPr>
        <w:t>Introducción</w:t>
      </w:r>
    </w:p>
    <w:p w:rsidR="003C1164" w:rsidRDefault="003C1164">
      <w:pPr>
        <w:pStyle w:val="BodyText"/>
        <w:spacing w:before="4"/>
        <w:rPr>
          <w:b/>
          <w:sz w:val="22"/>
        </w:rPr>
      </w:pPr>
    </w:p>
    <w:p w:rsidR="003C1164" w:rsidRDefault="00B92574">
      <w:pPr>
        <w:pStyle w:val="BodyText"/>
        <w:spacing w:line="360" w:lineRule="auto"/>
        <w:ind w:left="120" w:right="441" w:firstLine="720"/>
        <w:jc w:val="both"/>
      </w:pPr>
      <w:r>
        <w:t xml:space="preserve">Esta guía proporciona información sobre los derechos de los pacientes que se encuentran en los hospitales psiquiátricos para adultos (Western State Hospital (WSH) y Eastern State Hospital (ESH)) administrados por el Departamento de Servicios Sociales y de Salud (DSHS) del estado de Washington luego de un hallazgo de «No culpable por motivo de demencia» (NGRI). Estas personas han sido acusadas de un delito, pero debido a su enfermedad mental son absueltas de sus cargos. Debido a que un paciente NGRI ha sido considerado «no culpable» de cometer el cargo penal subyacente, solo pueden ser hospitalizados si se los considera un «peligro sustancial para los demás» o si presenta «una probabilidad sustancial de cometer actos delictivos que pongan en peligro la seguridad pública». </w:t>
      </w:r>
      <w:r>
        <w:rPr>
          <w:i/>
        </w:rPr>
        <w:t xml:space="preserve">Ver </w:t>
      </w:r>
      <w:r>
        <w:t>RCW 10.77.110. Los pacientes considerados NGRI no pueden ingresar a WSH o ESH por un período de tiempo más largo que la posible sentencia máxima por cualquier delito penal acusado por el cual el paciente fue absuelto como no culpable por razón de demencia.</w:t>
      </w:r>
    </w:p>
    <w:p w:rsidR="003C1164" w:rsidRDefault="00B92574" w:rsidP="0037261E">
      <w:pPr>
        <w:pStyle w:val="BodyText"/>
        <w:spacing w:before="121" w:line="360" w:lineRule="auto"/>
        <w:ind w:left="120" w:right="445" w:firstLine="720"/>
        <w:jc w:val="both"/>
      </w:pPr>
      <w:r>
        <w:t>Esta guía no trata los derechos de las personas que ingresan como civiles conforme a RCW 71.05 o aquellas que están en el proceso de evaluación de competencia o tratamiento de restauración según RCW 10.77. Tampoco trata los derechos más generales que afectan a todos los pacientes en WSH y ESH. Para obtener información sobre los derechos más generales de los pacientes, consulte la publicación de DRW titulada «</w:t>
      </w:r>
      <w:r>
        <w:rPr>
          <w:color w:val="0000FF"/>
          <w:u w:val="single" w:color="0000FF"/>
        </w:rPr>
        <w:t>Derechos de los pacientes en Western State Hospital y Eastern State Hospital</w:t>
      </w:r>
      <w:r>
        <w:t>»</w:t>
      </w:r>
    </w:p>
    <w:p w:rsidR="003C1164" w:rsidRDefault="003C1164">
      <w:pPr>
        <w:sectPr w:rsidR="003C1164">
          <w:footerReference w:type="default" r:id="rId7"/>
          <w:type w:val="continuous"/>
          <w:pgSz w:w="12240" w:h="15840"/>
          <w:pgMar w:top="1500" w:right="1000" w:bottom="1260" w:left="1320" w:header="720" w:footer="1068" w:gutter="0"/>
          <w:pgNumType w:start="1"/>
          <w:cols w:space="720"/>
        </w:sectPr>
      </w:pPr>
    </w:p>
    <w:p w:rsidR="003C1164" w:rsidRDefault="00B92574">
      <w:pPr>
        <w:pStyle w:val="Heading1"/>
        <w:spacing w:before="78"/>
        <w:ind w:left="3787" w:firstLine="0"/>
      </w:pPr>
      <w:r>
        <w:rPr>
          <w:u w:val="single"/>
        </w:rPr>
        <w:lastRenderedPageBreak/>
        <w:t>Índice</w:t>
      </w:r>
    </w:p>
    <w:p w:rsidR="003C1164" w:rsidRDefault="00B92574">
      <w:pPr>
        <w:tabs>
          <w:tab w:val="left" w:pos="1558"/>
        </w:tabs>
        <w:spacing w:before="137"/>
        <w:ind w:left="120"/>
        <w:rPr>
          <w:b/>
          <w:sz w:val="24"/>
        </w:rPr>
      </w:pPr>
      <w:r>
        <w:rPr>
          <w:b/>
          <w:sz w:val="24"/>
        </w:rPr>
        <w:t>Sección I:</w:t>
      </w:r>
      <w:r>
        <w:rPr>
          <w:b/>
          <w:sz w:val="24"/>
        </w:rPr>
        <w:tab/>
        <w:t>Definiciones</w:t>
      </w:r>
    </w:p>
    <w:p w:rsidR="003C1164" w:rsidRDefault="00B92574">
      <w:pPr>
        <w:pStyle w:val="ListParagraph"/>
        <w:numPr>
          <w:ilvl w:val="0"/>
          <w:numId w:val="6"/>
        </w:numPr>
        <w:tabs>
          <w:tab w:val="left" w:pos="1200"/>
          <w:tab w:val="left" w:pos="1201"/>
        </w:tabs>
        <w:spacing w:before="136"/>
        <w:rPr>
          <w:sz w:val="24"/>
        </w:rPr>
      </w:pPr>
      <w:r>
        <w:rPr>
          <w:sz w:val="24"/>
        </w:rPr>
        <w:t>Libertad condicional</w:t>
      </w:r>
    </w:p>
    <w:p w:rsidR="003C1164" w:rsidRDefault="003C1164">
      <w:pPr>
        <w:pStyle w:val="BodyText"/>
        <w:spacing w:before="1"/>
        <w:rPr>
          <w:sz w:val="16"/>
        </w:rPr>
      </w:pPr>
    </w:p>
    <w:p w:rsidR="003C1164" w:rsidRDefault="00B92574">
      <w:pPr>
        <w:pStyle w:val="ListParagraph"/>
        <w:numPr>
          <w:ilvl w:val="0"/>
          <w:numId w:val="6"/>
        </w:numPr>
        <w:tabs>
          <w:tab w:val="left" w:pos="1200"/>
          <w:tab w:val="left" w:pos="1201"/>
        </w:tabs>
        <w:spacing w:before="91"/>
        <w:rPr>
          <w:sz w:val="24"/>
        </w:rPr>
      </w:pPr>
      <w:r>
        <w:rPr>
          <w:sz w:val="24"/>
        </w:rPr>
        <w:t>Alta final (libertad plena)</w:t>
      </w:r>
    </w:p>
    <w:p w:rsidR="003C1164" w:rsidRDefault="003C1164">
      <w:pPr>
        <w:pStyle w:val="BodyText"/>
      </w:pPr>
    </w:p>
    <w:p w:rsidR="003C1164" w:rsidRDefault="00B92574">
      <w:pPr>
        <w:pStyle w:val="ListParagraph"/>
        <w:numPr>
          <w:ilvl w:val="0"/>
          <w:numId w:val="6"/>
        </w:numPr>
        <w:tabs>
          <w:tab w:val="left" w:pos="1200"/>
          <w:tab w:val="left" w:pos="1201"/>
        </w:tabs>
        <w:spacing w:before="1"/>
        <w:rPr>
          <w:sz w:val="24"/>
        </w:rPr>
      </w:pPr>
      <w:r>
        <w:rPr>
          <w:sz w:val="24"/>
        </w:rPr>
        <w:t>Junta de revisión de riesgos</w:t>
      </w:r>
    </w:p>
    <w:p w:rsidR="003C1164" w:rsidRDefault="003C1164">
      <w:pPr>
        <w:pStyle w:val="BodyText"/>
        <w:spacing w:before="11"/>
        <w:rPr>
          <w:sz w:val="23"/>
        </w:rPr>
      </w:pPr>
    </w:p>
    <w:p w:rsidR="003C1164" w:rsidRDefault="00B92574">
      <w:pPr>
        <w:pStyle w:val="ListParagraph"/>
        <w:numPr>
          <w:ilvl w:val="0"/>
          <w:numId w:val="6"/>
        </w:numPr>
        <w:tabs>
          <w:tab w:val="left" w:pos="1200"/>
          <w:tab w:val="left" w:pos="1201"/>
        </w:tabs>
        <w:rPr>
          <w:sz w:val="24"/>
        </w:rPr>
      </w:pPr>
      <w:r>
        <w:rPr>
          <w:sz w:val="24"/>
        </w:rPr>
        <w:t>Panel de revisión de la seguridad pública</w:t>
      </w:r>
    </w:p>
    <w:p w:rsidR="003C1164" w:rsidRDefault="003C1164">
      <w:pPr>
        <w:pStyle w:val="BodyText"/>
      </w:pPr>
    </w:p>
    <w:p w:rsidR="003C1164" w:rsidRDefault="00B92574">
      <w:pPr>
        <w:pStyle w:val="ListParagraph"/>
        <w:numPr>
          <w:ilvl w:val="0"/>
          <w:numId w:val="6"/>
        </w:numPr>
        <w:tabs>
          <w:tab w:val="left" w:pos="1200"/>
          <w:tab w:val="left" w:pos="1201"/>
        </w:tabs>
        <w:rPr>
          <w:sz w:val="24"/>
        </w:rPr>
      </w:pPr>
      <w:r>
        <w:rPr>
          <w:sz w:val="24"/>
        </w:rPr>
        <w:t>Evaluación forense de riesgo</w:t>
      </w:r>
    </w:p>
    <w:p w:rsidR="003C1164" w:rsidRDefault="003C1164">
      <w:pPr>
        <w:pStyle w:val="BodyText"/>
      </w:pPr>
    </w:p>
    <w:p w:rsidR="003C1164" w:rsidRDefault="00B92574">
      <w:pPr>
        <w:pStyle w:val="ListParagraph"/>
        <w:numPr>
          <w:ilvl w:val="0"/>
          <w:numId w:val="6"/>
        </w:numPr>
        <w:tabs>
          <w:tab w:val="left" w:pos="1200"/>
          <w:tab w:val="left" w:pos="1201"/>
        </w:tabs>
        <w:rPr>
          <w:sz w:val="24"/>
        </w:rPr>
      </w:pPr>
      <w:r>
        <w:rPr>
          <w:sz w:val="24"/>
        </w:rPr>
        <w:t>Escala de preparación para el tratamiento ambulatorio comunitario</w:t>
      </w:r>
    </w:p>
    <w:p w:rsidR="003C1164" w:rsidRDefault="003C1164">
      <w:pPr>
        <w:pStyle w:val="BodyText"/>
        <w:spacing w:before="2"/>
      </w:pPr>
    </w:p>
    <w:p w:rsidR="003C1164" w:rsidRDefault="00B92574">
      <w:pPr>
        <w:pStyle w:val="Heading1"/>
        <w:tabs>
          <w:tab w:val="left" w:pos="1624"/>
        </w:tabs>
        <w:spacing w:before="1"/>
        <w:ind w:left="120" w:firstLine="0"/>
      </w:pPr>
      <w:r>
        <w:t>Sección II:</w:t>
      </w:r>
      <w:r>
        <w:tab/>
        <w:t>Casos legales notables</w:t>
      </w:r>
    </w:p>
    <w:p w:rsidR="003C1164" w:rsidRDefault="00B92574">
      <w:pPr>
        <w:pStyle w:val="ListParagraph"/>
        <w:numPr>
          <w:ilvl w:val="0"/>
          <w:numId w:val="5"/>
        </w:numPr>
        <w:tabs>
          <w:tab w:val="left" w:pos="1200"/>
          <w:tab w:val="left" w:pos="1201"/>
        </w:tabs>
        <w:spacing w:before="134"/>
        <w:rPr>
          <w:sz w:val="24"/>
        </w:rPr>
      </w:pPr>
      <w:r>
        <w:rPr>
          <w:sz w:val="24"/>
        </w:rPr>
        <w:t>Washington vs. Fletcher</w:t>
      </w:r>
    </w:p>
    <w:p w:rsidR="003C1164" w:rsidRDefault="003C1164">
      <w:pPr>
        <w:pStyle w:val="BodyText"/>
      </w:pPr>
    </w:p>
    <w:p w:rsidR="003C1164" w:rsidRDefault="00B92574">
      <w:pPr>
        <w:pStyle w:val="ListParagraph"/>
        <w:numPr>
          <w:ilvl w:val="0"/>
          <w:numId w:val="5"/>
        </w:numPr>
        <w:tabs>
          <w:tab w:val="left" w:pos="1200"/>
          <w:tab w:val="left" w:pos="1201"/>
        </w:tabs>
        <w:rPr>
          <w:sz w:val="24"/>
        </w:rPr>
      </w:pPr>
      <w:r>
        <w:rPr>
          <w:sz w:val="24"/>
        </w:rPr>
        <w:t>Ross vs. Inslee</w:t>
      </w:r>
    </w:p>
    <w:p w:rsidR="003C1164" w:rsidRDefault="003C1164">
      <w:pPr>
        <w:pStyle w:val="BodyText"/>
      </w:pPr>
    </w:p>
    <w:p w:rsidR="003C1164" w:rsidRDefault="00B92574">
      <w:pPr>
        <w:pStyle w:val="Heading1"/>
        <w:ind w:left="120" w:firstLine="0"/>
      </w:pPr>
      <w:r>
        <w:t>Sección III: Derechos y privilegios</w:t>
      </w:r>
    </w:p>
    <w:p w:rsidR="003C1164" w:rsidRDefault="003C1164">
      <w:pPr>
        <w:pStyle w:val="BodyText"/>
        <w:rPr>
          <w:b/>
        </w:rPr>
      </w:pPr>
    </w:p>
    <w:p w:rsidR="003C1164" w:rsidRDefault="00B92574">
      <w:pPr>
        <w:pStyle w:val="ListParagraph"/>
        <w:numPr>
          <w:ilvl w:val="0"/>
          <w:numId w:val="4"/>
        </w:numPr>
        <w:tabs>
          <w:tab w:val="left" w:pos="1173"/>
          <w:tab w:val="left" w:pos="1174"/>
        </w:tabs>
        <w:rPr>
          <w:sz w:val="24"/>
        </w:rPr>
      </w:pPr>
      <w:r>
        <w:rPr>
          <w:sz w:val="24"/>
        </w:rPr>
        <w:t>Sistema de niveles</w:t>
      </w:r>
    </w:p>
    <w:p w:rsidR="003C1164" w:rsidRDefault="003C1164">
      <w:pPr>
        <w:pStyle w:val="BodyText"/>
      </w:pPr>
    </w:p>
    <w:p w:rsidR="003C1164" w:rsidRDefault="00B92574">
      <w:pPr>
        <w:pStyle w:val="ListParagraph"/>
        <w:numPr>
          <w:ilvl w:val="1"/>
          <w:numId w:val="4"/>
        </w:numPr>
        <w:tabs>
          <w:tab w:val="left" w:pos="1561"/>
        </w:tabs>
        <w:rPr>
          <w:sz w:val="24"/>
        </w:rPr>
      </w:pPr>
      <w:r>
        <w:rPr>
          <w:sz w:val="24"/>
        </w:rPr>
        <w:t>¿Qué puedo hacer para subir de nivel?</w:t>
      </w:r>
    </w:p>
    <w:p w:rsidR="003C1164" w:rsidRDefault="003C1164">
      <w:pPr>
        <w:pStyle w:val="BodyText"/>
      </w:pPr>
    </w:p>
    <w:p w:rsidR="003C1164" w:rsidRDefault="00B92574">
      <w:pPr>
        <w:pStyle w:val="ListParagraph"/>
        <w:numPr>
          <w:ilvl w:val="1"/>
          <w:numId w:val="4"/>
        </w:numPr>
        <w:tabs>
          <w:tab w:val="left" w:pos="1561"/>
        </w:tabs>
        <w:rPr>
          <w:sz w:val="24"/>
        </w:rPr>
      </w:pPr>
      <w:r>
        <w:rPr>
          <w:sz w:val="24"/>
        </w:rPr>
        <w:t>¿Qué puedo hacer si bajan mi nivel?</w:t>
      </w:r>
    </w:p>
    <w:p w:rsidR="003C1164" w:rsidRDefault="003C1164">
      <w:pPr>
        <w:pStyle w:val="BodyText"/>
      </w:pPr>
    </w:p>
    <w:p w:rsidR="003C1164" w:rsidRDefault="00B92574">
      <w:pPr>
        <w:pStyle w:val="ListParagraph"/>
        <w:numPr>
          <w:ilvl w:val="0"/>
          <w:numId w:val="4"/>
        </w:numPr>
        <w:tabs>
          <w:tab w:val="left" w:pos="1200"/>
          <w:tab w:val="left" w:pos="1201"/>
        </w:tabs>
        <w:ind w:left="1200" w:hanging="721"/>
        <w:rPr>
          <w:sz w:val="24"/>
        </w:rPr>
      </w:pPr>
      <w:r>
        <w:rPr>
          <w:sz w:val="24"/>
        </w:rPr>
        <w:t>Propiedad personal</w:t>
      </w:r>
    </w:p>
    <w:p w:rsidR="003C1164" w:rsidRDefault="003C1164">
      <w:pPr>
        <w:pStyle w:val="BodyText"/>
      </w:pPr>
    </w:p>
    <w:p w:rsidR="003C1164" w:rsidRDefault="00B92574">
      <w:pPr>
        <w:pStyle w:val="ListParagraph"/>
        <w:numPr>
          <w:ilvl w:val="0"/>
          <w:numId w:val="4"/>
        </w:numPr>
        <w:tabs>
          <w:tab w:val="left" w:pos="1200"/>
          <w:tab w:val="left" w:pos="1201"/>
        </w:tabs>
        <w:ind w:left="1200" w:hanging="721"/>
        <w:rPr>
          <w:sz w:val="24"/>
        </w:rPr>
      </w:pPr>
      <w:r>
        <w:rPr>
          <w:sz w:val="24"/>
        </w:rPr>
        <w:t>Acceso a los terrenos</w:t>
      </w:r>
    </w:p>
    <w:p w:rsidR="003C1164" w:rsidRDefault="003C1164">
      <w:pPr>
        <w:pStyle w:val="BodyText"/>
      </w:pPr>
    </w:p>
    <w:p w:rsidR="003C1164" w:rsidRDefault="00B92574">
      <w:pPr>
        <w:pStyle w:val="ListParagraph"/>
        <w:numPr>
          <w:ilvl w:val="0"/>
          <w:numId w:val="4"/>
        </w:numPr>
        <w:tabs>
          <w:tab w:val="left" w:pos="1200"/>
          <w:tab w:val="left" w:pos="1201"/>
        </w:tabs>
        <w:ind w:left="1200" w:hanging="721"/>
        <w:rPr>
          <w:sz w:val="24"/>
        </w:rPr>
      </w:pPr>
      <w:r>
        <w:rPr>
          <w:sz w:val="24"/>
        </w:rPr>
        <w:t>Inspección sin ropa e inspección de las cavidades corporales</w:t>
      </w:r>
    </w:p>
    <w:p w:rsidR="003C1164" w:rsidRDefault="003C1164">
      <w:pPr>
        <w:pStyle w:val="BodyText"/>
      </w:pPr>
    </w:p>
    <w:p w:rsidR="003C1164" w:rsidRDefault="00B92574">
      <w:pPr>
        <w:pStyle w:val="ListParagraph"/>
        <w:numPr>
          <w:ilvl w:val="0"/>
          <w:numId w:val="4"/>
        </w:numPr>
        <w:tabs>
          <w:tab w:val="left" w:pos="1200"/>
          <w:tab w:val="left" w:pos="1201"/>
        </w:tabs>
        <w:ind w:left="1200" w:hanging="721"/>
        <w:rPr>
          <w:sz w:val="24"/>
        </w:rPr>
      </w:pPr>
      <w:r>
        <w:rPr>
          <w:sz w:val="24"/>
        </w:rPr>
        <w:t>Medicación involuntaria</w:t>
      </w:r>
    </w:p>
    <w:p w:rsidR="003C1164" w:rsidRDefault="003C1164">
      <w:pPr>
        <w:pStyle w:val="BodyText"/>
      </w:pPr>
    </w:p>
    <w:p w:rsidR="003C1164" w:rsidRDefault="00B92574">
      <w:pPr>
        <w:pStyle w:val="ListParagraph"/>
        <w:numPr>
          <w:ilvl w:val="1"/>
          <w:numId w:val="4"/>
        </w:numPr>
        <w:tabs>
          <w:tab w:val="left" w:pos="1561"/>
        </w:tabs>
        <w:rPr>
          <w:sz w:val="24"/>
        </w:rPr>
      </w:pPr>
      <w:r>
        <w:rPr>
          <w:sz w:val="24"/>
        </w:rPr>
        <w:t>Medicación antipsicótica</w:t>
      </w:r>
    </w:p>
    <w:p w:rsidR="003C1164" w:rsidRDefault="003C1164">
      <w:pPr>
        <w:pStyle w:val="BodyText"/>
      </w:pPr>
    </w:p>
    <w:p w:rsidR="003C1164" w:rsidRDefault="00B92574">
      <w:pPr>
        <w:pStyle w:val="ListParagraph"/>
        <w:numPr>
          <w:ilvl w:val="1"/>
          <w:numId w:val="4"/>
        </w:numPr>
        <w:tabs>
          <w:tab w:val="left" w:pos="1561"/>
        </w:tabs>
        <w:spacing w:before="1"/>
        <w:rPr>
          <w:sz w:val="24"/>
        </w:rPr>
      </w:pPr>
      <w:r>
        <w:rPr>
          <w:sz w:val="24"/>
        </w:rPr>
        <w:t>Otra medicación</w:t>
      </w:r>
    </w:p>
    <w:p w:rsidR="003C1164" w:rsidRDefault="003C1164">
      <w:pPr>
        <w:pStyle w:val="BodyText"/>
        <w:spacing w:before="11"/>
        <w:rPr>
          <w:sz w:val="23"/>
        </w:rPr>
      </w:pPr>
    </w:p>
    <w:p w:rsidR="003C1164" w:rsidRDefault="00B92574">
      <w:pPr>
        <w:pStyle w:val="Heading1"/>
        <w:ind w:left="120" w:firstLine="0"/>
      </w:pPr>
      <w:r>
        <w:t>Sección IV: Lograr la libertad condicional y el alta final</w:t>
      </w:r>
    </w:p>
    <w:p w:rsidR="003C1164" w:rsidRDefault="003C1164">
      <w:pPr>
        <w:pStyle w:val="BodyText"/>
        <w:rPr>
          <w:b/>
        </w:rPr>
      </w:pPr>
    </w:p>
    <w:p w:rsidR="003C1164" w:rsidRDefault="00B92574">
      <w:pPr>
        <w:pStyle w:val="ListParagraph"/>
        <w:numPr>
          <w:ilvl w:val="0"/>
          <w:numId w:val="3"/>
        </w:numPr>
        <w:tabs>
          <w:tab w:val="left" w:pos="1105"/>
          <w:tab w:val="left" w:pos="1106"/>
        </w:tabs>
        <w:rPr>
          <w:sz w:val="24"/>
        </w:rPr>
      </w:pPr>
      <w:r>
        <w:rPr>
          <w:sz w:val="24"/>
        </w:rPr>
        <w:t>Equipo de tratamiento, la RRB y el PSRP</w:t>
      </w:r>
    </w:p>
    <w:p w:rsidR="003C1164" w:rsidRDefault="003C1164">
      <w:pPr>
        <w:pStyle w:val="BodyText"/>
      </w:pPr>
    </w:p>
    <w:p w:rsidR="003C1164" w:rsidRDefault="00B92574">
      <w:pPr>
        <w:pStyle w:val="ListParagraph"/>
        <w:numPr>
          <w:ilvl w:val="0"/>
          <w:numId w:val="3"/>
        </w:numPr>
        <w:tabs>
          <w:tab w:val="left" w:pos="1106"/>
          <w:tab w:val="left" w:pos="1107"/>
        </w:tabs>
        <w:ind w:left="1107" w:hanging="627"/>
        <w:rPr>
          <w:sz w:val="24"/>
        </w:rPr>
      </w:pPr>
      <w:r>
        <w:rPr>
          <w:sz w:val="24"/>
        </w:rPr>
        <w:t>Presentación directa ante el DSHS</w:t>
      </w:r>
    </w:p>
    <w:p w:rsidR="003C1164" w:rsidRDefault="003C1164">
      <w:pPr>
        <w:rPr>
          <w:sz w:val="24"/>
        </w:rPr>
        <w:sectPr w:rsidR="003C1164">
          <w:pgSz w:w="12240" w:h="15840"/>
          <w:pgMar w:top="1360" w:right="1000" w:bottom="1260" w:left="1320" w:header="0" w:footer="1068" w:gutter="0"/>
          <w:cols w:space="720"/>
        </w:sectPr>
      </w:pPr>
    </w:p>
    <w:p w:rsidR="003C1164" w:rsidRDefault="00B92574">
      <w:pPr>
        <w:pStyle w:val="ListParagraph"/>
        <w:numPr>
          <w:ilvl w:val="0"/>
          <w:numId w:val="3"/>
        </w:numPr>
        <w:tabs>
          <w:tab w:val="left" w:pos="1106"/>
          <w:tab w:val="left" w:pos="1107"/>
        </w:tabs>
        <w:spacing w:before="75"/>
        <w:ind w:left="1107" w:hanging="627"/>
        <w:rPr>
          <w:sz w:val="24"/>
        </w:rPr>
      </w:pPr>
      <w:r>
        <w:rPr>
          <w:sz w:val="24"/>
        </w:rPr>
        <w:lastRenderedPageBreak/>
        <w:t>Presentación directa ante el tribunal</w:t>
      </w:r>
    </w:p>
    <w:p w:rsidR="003C1164" w:rsidRDefault="003C1164">
      <w:pPr>
        <w:pStyle w:val="BodyText"/>
      </w:pPr>
    </w:p>
    <w:p w:rsidR="003C1164" w:rsidRDefault="00B92574">
      <w:pPr>
        <w:pStyle w:val="ListParagraph"/>
        <w:numPr>
          <w:ilvl w:val="0"/>
          <w:numId w:val="3"/>
        </w:numPr>
        <w:tabs>
          <w:tab w:val="left" w:pos="1106"/>
          <w:tab w:val="left" w:pos="1107"/>
        </w:tabs>
        <w:ind w:left="1107" w:hanging="627"/>
        <w:rPr>
          <w:sz w:val="24"/>
        </w:rPr>
      </w:pPr>
      <w:r>
        <w:rPr>
          <w:sz w:val="24"/>
        </w:rPr>
        <w:t>Hábeas corpus</w:t>
      </w:r>
    </w:p>
    <w:p w:rsidR="003C1164" w:rsidRDefault="003C1164">
      <w:pPr>
        <w:pStyle w:val="BodyText"/>
      </w:pPr>
    </w:p>
    <w:p w:rsidR="003C1164" w:rsidRDefault="00B92574">
      <w:pPr>
        <w:pStyle w:val="ListParagraph"/>
        <w:numPr>
          <w:ilvl w:val="0"/>
          <w:numId w:val="3"/>
        </w:numPr>
        <w:tabs>
          <w:tab w:val="left" w:pos="1106"/>
          <w:tab w:val="left" w:pos="1107"/>
        </w:tabs>
        <w:ind w:left="1107" w:hanging="627"/>
        <w:rPr>
          <w:sz w:val="24"/>
        </w:rPr>
      </w:pPr>
      <w:r>
        <w:rPr>
          <w:sz w:val="24"/>
        </w:rPr>
        <w:t>Derecho a un abogado</w:t>
      </w:r>
    </w:p>
    <w:p w:rsidR="003C1164" w:rsidRDefault="003C1164">
      <w:pPr>
        <w:pStyle w:val="BodyText"/>
      </w:pPr>
    </w:p>
    <w:p w:rsidR="003C1164" w:rsidRDefault="00B92574">
      <w:pPr>
        <w:pStyle w:val="Heading1"/>
        <w:spacing w:before="1"/>
        <w:ind w:left="120" w:firstLine="0"/>
      </w:pPr>
      <w:r>
        <w:t>Sección V: Qué hacer si no está de acuerdo con su tratamiento</w:t>
      </w:r>
    </w:p>
    <w:p w:rsidR="003C1164" w:rsidRDefault="003C1164">
      <w:pPr>
        <w:pStyle w:val="BodyText"/>
        <w:spacing w:before="11"/>
        <w:rPr>
          <w:b/>
          <w:sz w:val="23"/>
        </w:rPr>
      </w:pPr>
    </w:p>
    <w:p w:rsidR="003C1164" w:rsidRDefault="00B92574">
      <w:pPr>
        <w:pStyle w:val="ListParagraph"/>
        <w:numPr>
          <w:ilvl w:val="0"/>
          <w:numId w:val="2"/>
        </w:numPr>
        <w:tabs>
          <w:tab w:val="left" w:pos="1106"/>
          <w:tab w:val="left" w:pos="1107"/>
        </w:tabs>
        <w:rPr>
          <w:sz w:val="24"/>
        </w:rPr>
      </w:pPr>
      <w:r>
        <w:rPr>
          <w:sz w:val="24"/>
        </w:rPr>
        <w:t>Defensor del pueblo para los pacientes considerados NGRI</w:t>
      </w:r>
    </w:p>
    <w:p w:rsidR="003C1164" w:rsidRDefault="003C1164">
      <w:pPr>
        <w:pStyle w:val="BodyText"/>
      </w:pPr>
    </w:p>
    <w:p w:rsidR="003C1164" w:rsidRDefault="00B92574">
      <w:pPr>
        <w:pStyle w:val="ListParagraph"/>
        <w:numPr>
          <w:ilvl w:val="0"/>
          <w:numId w:val="2"/>
        </w:numPr>
        <w:tabs>
          <w:tab w:val="left" w:pos="1106"/>
          <w:tab w:val="left" w:pos="1107"/>
        </w:tabs>
        <w:rPr>
          <w:sz w:val="24"/>
        </w:rPr>
      </w:pPr>
      <w:r>
        <w:rPr>
          <w:sz w:val="24"/>
        </w:rPr>
        <w:t>Directores forenses en ESH y WSH</w:t>
      </w:r>
    </w:p>
    <w:p w:rsidR="003C1164" w:rsidRDefault="003C1164">
      <w:pPr>
        <w:rPr>
          <w:sz w:val="24"/>
        </w:rPr>
        <w:sectPr w:rsidR="003C1164">
          <w:pgSz w:w="12240" w:h="15840"/>
          <w:pgMar w:top="1360" w:right="1000" w:bottom="1260" w:left="1320" w:header="0" w:footer="1068" w:gutter="0"/>
          <w:cols w:space="720"/>
        </w:sectPr>
      </w:pPr>
    </w:p>
    <w:p w:rsidR="003C1164" w:rsidRDefault="00B92574">
      <w:pPr>
        <w:pStyle w:val="Heading1"/>
        <w:numPr>
          <w:ilvl w:val="0"/>
          <w:numId w:val="1"/>
        </w:numPr>
        <w:tabs>
          <w:tab w:val="left" w:pos="1199"/>
          <w:tab w:val="left" w:pos="1200"/>
        </w:tabs>
        <w:spacing w:before="78"/>
      </w:pPr>
      <w:r>
        <w:rPr>
          <w:u w:val="thick"/>
        </w:rPr>
        <w:t>Definiciones</w:t>
      </w:r>
    </w:p>
    <w:p w:rsidR="003C1164" w:rsidRDefault="003C1164">
      <w:pPr>
        <w:pStyle w:val="BodyText"/>
        <w:spacing w:before="4"/>
        <w:rPr>
          <w:b/>
          <w:sz w:val="14"/>
        </w:rPr>
      </w:pPr>
    </w:p>
    <w:p w:rsidR="003C1164" w:rsidRDefault="00B92574">
      <w:pPr>
        <w:pStyle w:val="BodyText"/>
        <w:spacing w:before="92" w:line="360" w:lineRule="auto"/>
        <w:ind w:left="120" w:right="522" w:firstLine="720"/>
      </w:pPr>
      <w:r>
        <w:t>Los siguientes términos se utilizan a lo largo de esta guía y son de particular importancia para los pacientes considerados NGRI.</w:t>
      </w:r>
    </w:p>
    <w:p w:rsidR="003C1164" w:rsidRDefault="003C1164">
      <w:pPr>
        <w:pStyle w:val="BodyText"/>
        <w:spacing w:before="7"/>
        <w:rPr>
          <w:sz w:val="20"/>
        </w:rPr>
      </w:pPr>
    </w:p>
    <w:p w:rsidR="003C1164" w:rsidRDefault="00B92574">
      <w:pPr>
        <w:pStyle w:val="Heading1"/>
        <w:numPr>
          <w:ilvl w:val="1"/>
          <w:numId w:val="1"/>
        </w:numPr>
        <w:tabs>
          <w:tab w:val="left" w:pos="1561"/>
        </w:tabs>
      </w:pPr>
      <w:r>
        <w:t>Libertad condicional</w:t>
      </w:r>
    </w:p>
    <w:p w:rsidR="003C1164" w:rsidRDefault="00B92574">
      <w:pPr>
        <w:pStyle w:val="BodyText"/>
        <w:spacing w:before="63" w:line="360" w:lineRule="auto"/>
        <w:ind w:left="120" w:right="522" w:firstLine="720"/>
      </w:pPr>
      <w:r>
        <w:t>La libertad condicional (</w:t>
      </w:r>
      <w:r>
        <w:rPr>
          <w:i/>
          <w:iCs/>
        </w:rPr>
        <w:t>Conditional Release</w:t>
      </w:r>
      <w:r>
        <w:t>, CR) implica privilegios específicos del paciente y es un cambio en el estado legal de un paciente considerado NGRI que requiere la aprobación del tribunal. En general, la primera etapa de la libertad condicional es obtener privilegios a los terrenos del hospital sin escolta, seguido de salidas comunitarias escoltadas, salidas sin escolta con restricciones de tiempo y lugar, viajes de un día a la comunidad sin escolta y luego pernoctaciones sin escolta. Finalmente, la libertad condicional implica el derecho a vivir en la comunidad bajo ciertas restricciones establecidas por el tribunal.</w:t>
      </w:r>
    </w:p>
    <w:p w:rsidR="003C1164" w:rsidRDefault="003C1164">
      <w:pPr>
        <w:pStyle w:val="BodyText"/>
        <w:spacing w:before="9"/>
        <w:rPr>
          <w:sz w:val="20"/>
        </w:rPr>
      </w:pPr>
    </w:p>
    <w:p w:rsidR="003C1164" w:rsidRDefault="00B92574">
      <w:pPr>
        <w:pStyle w:val="Heading1"/>
        <w:numPr>
          <w:ilvl w:val="1"/>
          <w:numId w:val="1"/>
        </w:numPr>
        <w:tabs>
          <w:tab w:val="left" w:pos="1561"/>
        </w:tabs>
      </w:pPr>
      <w:r>
        <w:t>Alta final (libertad plena)</w:t>
      </w:r>
    </w:p>
    <w:p w:rsidR="003C1164" w:rsidRDefault="00B92574">
      <w:pPr>
        <w:pStyle w:val="BodyText"/>
        <w:spacing w:before="62" w:line="360" w:lineRule="auto"/>
        <w:ind w:left="120" w:right="498" w:firstLine="720"/>
      </w:pPr>
      <w:r>
        <w:t>El alta final (</w:t>
      </w:r>
      <w:r>
        <w:rPr>
          <w:i/>
          <w:iCs/>
        </w:rPr>
        <w:t>Final Discharge</w:t>
      </w:r>
      <w:r>
        <w:t>, FD), o la libertad plena (</w:t>
      </w:r>
      <w:r>
        <w:rPr>
          <w:i/>
          <w:iCs/>
        </w:rPr>
        <w:t>Unconditional Release</w:t>
      </w:r>
      <w:r>
        <w:t>, UCR), implica un cambio en el estado legal de un paciente considerado NGRI que requiere la aprobación del tribunal. Generalmente sigue un período de libertad condicional y significa que un paciente considerado NGRI es liberado de la custodia del DSHS y ya no debe seguir las condiciones y la supervisión de un tribunal.</w:t>
      </w:r>
    </w:p>
    <w:p w:rsidR="003C1164" w:rsidRDefault="003C1164">
      <w:pPr>
        <w:pStyle w:val="BodyText"/>
        <w:spacing w:before="8"/>
        <w:rPr>
          <w:sz w:val="20"/>
        </w:rPr>
      </w:pPr>
    </w:p>
    <w:p w:rsidR="003C1164" w:rsidRDefault="00B92574">
      <w:pPr>
        <w:pStyle w:val="Heading1"/>
        <w:numPr>
          <w:ilvl w:val="1"/>
          <w:numId w:val="1"/>
        </w:numPr>
        <w:tabs>
          <w:tab w:val="left" w:pos="1561"/>
        </w:tabs>
      </w:pPr>
      <w:r>
        <w:t>Junta de revisión de riesgos (</w:t>
      </w:r>
      <w:r>
        <w:rPr>
          <w:i/>
          <w:iCs/>
        </w:rPr>
        <w:t>Risk Review Board</w:t>
      </w:r>
      <w:r>
        <w:t>, RRB)</w:t>
      </w:r>
    </w:p>
    <w:p w:rsidR="003C1164" w:rsidRDefault="00B92574">
      <w:pPr>
        <w:pStyle w:val="BodyText"/>
        <w:spacing w:before="62" w:line="360" w:lineRule="auto"/>
        <w:ind w:left="120" w:right="522" w:firstLine="720"/>
      </w:pPr>
      <w:r>
        <w:t>La Junta de revisión de riesgos (RRB) es una junta de personal profesional en WSH y ESH que deben proporcionar un juicio clínico independiente de los pacientes considerados NGRI y su disposición para progresar en el tratamiento y los privilegios. Los pacientes deben acudir a la RRB para todas las solicitudes de privilegios relacionadas con privilegios a los terrenos con escolta y sin escolta, salidas comunitarias, libertad condicional y alta final.</w:t>
      </w:r>
    </w:p>
    <w:p w:rsidR="003C1164" w:rsidRDefault="003C1164">
      <w:pPr>
        <w:pStyle w:val="BodyText"/>
        <w:spacing w:before="7"/>
        <w:rPr>
          <w:sz w:val="20"/>
        </w:rPr>
      </w:pPr>
    </w:p>
    <w:p w:rsidR="003C1164" w:rsidRDefault="00B92574">
      <w:pPr>
        <w:pStyle w:val="Heading1"/>
        <w:numPr>
          <w:ilvl w:val="1"/>
          <w:numId w:val="1"/>
        </w:numPr>
        <w:tabs>
          <w:tab w:val="left" w:pos="1561"/>
        </w:tabs>
      </w:pPr>
      <w:r>
        <w:t>Panel de revisión de la seguridad pública (</w:t>
      </w:r>
      <w:r>
        <w:rPr>
          <w:i/>
          <w:iCs/>
        </w:rPr>
        <w:t>Public Safety Review Panel</w:t>
      </w:r>
      <w:r>
        <w:t>, PSRP)</w:t>
      </w:r>
    </w:p>
    <w:p w:rsidR="003C1164" w:rsidRDefault="00B92574" w:rsidP="0037261E">
      <w:pPr>
        <w:pStyle w:val="BodyText"/>
        <w:spacing w:before="78" w:line="360" w:lineRule="auto"/>
        <w:ind w:left="120" w:right="522"/>
      </w:pPr>
      <w:r>
        <w:t>El Panel de revisión de la seguridad pública (PSRP) es una junta designada por el gobernador compuesta por psiquiatras, psicólogos, personal del Departamento de Correcciones, fiscales, agentes del orden, defensores públicos y defensores de consumidores o familias. Los miembros del PSRP no son empleados del DSHS. Según la ley del estado de Washington, este panel asesora al DSHS y a los tribunales sobre: 1) cambios en el estado de libertad de un paciente considerado NGRI, 2) privilegios a los terrenos, y 3) permitir que el paciente tenga un permiso temporal del hospital con o sin personal del hospital que lo acompañe.</w:t>
      </w:r>
    </w:p>
    <w:p w:rsidR="003C1164" w:rsidRDefault="003C1164">
      <w:pPr>
        <w:pStyle w:val="BodyText"/>
        <w:spacing w:before="7"/>
        <w:rPr>
          <w:sz w:val="20"/>
        </w:rPr>
      </w:pPr>
    </w:p>
    <w:p w:rsidR="003C1164" w:rsidRDefault="00B92574">
      <w:pPr>
        <w:pStyle w:val="Heading1"/>
        <w:numPr>
          <w:ilvl w:val="1"/>
          <w:numId w:val="1"/>
        </w:numPr>
        <w:tabs>
          <w:tab w:val="left" w:pos="1561"/>
        </w:tabs>
      </w:pPr>
      <w:r>
        <w:t>Evaluación forense de riesgo (</w:t>
      </w:r>
      <w:r>
        <w:rPr>
          <w:i/>
          <w:iCs/>
        </w:rPr>
        <w:t>Forensic Risk Assessment</w:t>
      </w:r>
      <w:r>
        <w:t>, FRA)</w:t>
      </w:r>
    </w:p>
    <w:p w:rsidR="003C1164" w:rsidRDefault="00B92574">
      <w:pPr>
        <w:pStyle w:val="BodyText"/>
        <w:spacing w:before="63" w:line="360" w:lineRule="auto"/>
        <w:ind w:left="120" w:right="362" w:firstLine="720"/>
      </w:pPr>
      <w:r>
        <w:t>Una Evaluación forense de riesgo (FRA) es una evaluación para pacientes considerados NGRI que analiza las «variables estáticas» como indicadores de comportamiento futuro. En otras palabras, es una evaluación diseñada para predecir el potencial comportamiento delictivo futuro e identificar las necesidades de intervención. Esta evaluación es necesaria para que el hospital respalde los privilegios de los pacientes que afectan al público, tales como los privilegios a los terrenos sin escolta, salidas con escolta, libertad condicional dentro de la comunidad o libertad plena. Se completa antes de una reunión programada con la RRB.</w:t>
      </w:r>
    </w:p>
    <w:p w:rsidR="003C1164" w:rsidRDefault="003C1164">
      <w:pPr>
        <w:pStyle w:val="BodyText"/>
        <w:spacing w:before="6"/>
        <w:rPr>
          <w:sz w:val="20"/>
        </w:rPr>
      </w:pPr>
    </w:p>
    <w:p w:rsidR="003C1164" w:rsidRDefault="00B92574">
      <w:pPr>
        <w:pStyle w:val="Heading1"/>
        <w:numPr>
          <w:ilvl w:val="1"/>
          <w:numId w:val="1"/>
        </w:numPr>
        <w:tabs>
          <w:tab w:val="left" w:pos="1561"/>
        </w:tabs>
        <w:spacing w:before="1"/>
      </w:pPr>
      <w:r>
        <w:t>Escala de preparación para el tratamiento ambulatorio comunitario (COTREI)</w:t>
      </w:r>
    </w:p>
    <w:p w:rsidR="003C1164" w:rsidRDefault="00B92574">
      <w:pPr>
        <w:pStyle w:val="BodyText"/>
        <w:spacing w:before="62" w:line="360" w:lineRule="auto"/>
        <w:ind w:left="120" w:right="362" w:firstLine="360"/>
      </w:pPr>
      <w:r>
        <w:t>La Escala de preparación para el tratamiento ambulatorio comunitario (COTREI) es una evaluación para pacientes considerados NGRI que utiliza «variables dinámicas», lo que significa el progreso diario de alguien para determinar su buena disposición hacia la comunidad. Generalmente se usa para ayudar a guiar el progreso del paciente a través del sistema de niveles, lo que lleva a alcanzar la libertad condicional o el alta final.</w:t>
      </w:r>
    </w:p>
    <w:p w:rsidR="003C1164" w:rsidRDefault="003C1164">
      <w:pPr>
        <w:pStyle w:val="BodyText"/>
        <w:spacing w:before="5"/>
        <w:rPr>
          <w:sz w:val="26"/>
        </w:rPr>
      </w:pPr>
    </w:p>
    <w:p w:rsidR="003C1164" w:rsidRDefault="00B92574">
      <w:pPr>
        <w:pStyle w:val="Heading1"/>
        <w:numPr>
          <w:ilvl w:val="0"/>
          <w:numId w:val="1"/>
        </w:numPr>
        <w:tabs>
          <w:tab w:val="left" w:pos="1199"/>
          <w:tab w:val="left" w:pos="1200"/>
        </w:tabs>
        <w:spacing w:before="92"/>
      </w:pPr>
      <w:r>
        <w:rPr>
          <w:u w:val="thick"/>
        </w:rPr>
        <w:t>Casos legales notables</w:t>
      </w:r>
    </w:p>
    <w:p w:rsidR="003C1164" w:rsidRDefault="003C1164">
      <w:pPr>
        <w:pStyle w:val="BodyText"/>
        <w:spacing w:before="6"/>
        <w:rPr>
          <w:b/>
          <w:sz w:val="14"/>
        </w:rPr>
      </w:pPr>
    </w:p>
    <w:p w:rsidR="003C1164" w:rsidRDefault="00B92574">
      <w:pPr>
        <w:pStyle w:val="BodyText"/>
        <w:spacing w:before="92"/>
        <w:ind w:left="120"/>
      </w:pPr>
      <w:r>
        <w:t>Los siguientes casos legales abordan específicamente los derechos de los pacientes considerados NGRI.</w:t>
      </w:r>
    </w:p>
    <w:p w:rsidR="003C1164" w:rsidRDefault="003C1164">
      <w:pPr>
        <w:pStyle w:val="BodyText"/>
        <w:spacing w:before="7"/>
        <w:rPr>
          <w:sz w:val="32"/>
        </w:rPr>
      </w:pPr>
    </w:p>
    <w:p w:rsidR="003C1164" w:rsidRDefault="00B92574">
      <w:pPr>
        <w:pStyle w:val="Heading1"/>
        <w:numPr>
          <w:ilvl w:val="1"/>
          <w:numId w:val="1"/>
        </w:numPr>
        <w:tabs>
          <w:tab w:val="left" w:pos="1561"/>
        </w:tabs>
        <w:jc w:val="both"/>
      </w:pPr>
      <w:r>
        <w:t>Washington vs. Fletcher</w:t>
      </w:r>
    </w:p>
    <w:p w:rsidR="003C1164" w:rsidRDefault="00B92574">
      <w:pPr>
        <w:pStyle w:val="BodyText"/>
        <w:spacing w:before="60" w:line="360" w:lineRule="auto"/>
        <w:ind w:left="120" w:right="441" w:firstLine="720"/>
        <w:jc w:val="both"/>
      </w:pPr>
      <w:r>
        <w:rPr>
          <w:i/>
        </w:rPr>
        <w:t>El estado de Washington vs. Fletcher</w:t>
      </w:r>
      <w:r>
        <w:t xml:space="preserve"> es una decisión legal de 2018 que requiere que un paciente considerado NGRI: 1) pueda solicitar al tribunal directamente la libertad condicional o el alta final en cualquier momento durante su tratamiento, y 2) tenga derecho a un asesor legal una vez que se presenta una solicitud de libertad condicional o alta final ante el tribunal, o se presenta una solicitud de liberación al Departamento de Servicios Sociales y de Salud (DSHS). Un paciente considerado NGRI </w:t>
      </w:r>
      <w:r>
        <w:rPr>
          <w:u w:val="single"/>
        </w:rPr>
        <w:t>no</w:t>
      </w:r>
      <w:r>
        <w:t xml:space="preserve"> tiene el derecho a que se le asigne un abogado sin la previa presentación de una petición al tribunal o una solicitud de liberación al DSHS. Una vez que el paciente presenta la petición, el tribunal puede asignar un abogado para que lo represente. Tanto el WSH como el ESH deben tener formularios disponibles para los pacientes considerados NGRI para que puedan presentar una petición directamente al tribunal, como se menciona más adelante en esta guía.</w:t>
      </w:r>
    </w:p>
    <w:p w:rsidR="003C1164" w:rsidRDefault="00B92574">
      <w:pPr>
        <w:pStyle w:val="Heading1"/>
        <w:numPr>
          <w:ilvl w:val="1"/>
          <w:numId w:val="1"/>
        </w:numPr>
        <w:tabs>
          <w:tab w:val="left" w:pos="1561"/>
        </w:tabs>
        <w:spacing w:before="75"/>
        <w:jc w:val="both"/>
      </w:pPr>
      <w:r>
        <w:t>Ross vs. Inslee</w:t>
      </w:r>
    </w:p>
    <w:p w:rsidR="003C1164" w:rsidRDefault="00B92574">
      <w:pPr>
        <w:pStyle w:val="BodyText"/>
        <w:spacing w:before="60" w:line="360" w:lineRule="auto"/>
        <w:ind w:left="120" w:right="435" w:firstLine="720"/>
        <w:jc w:val="both"/>
      </w:pPr>
      <w:r>
        <w:rPr>
          <w:i/>
        </w:rPr>
        <w:t>Ross vs. Inslee</w:t>
      </w:r>
      <w:r>
        <w:t xml:space="preserve"> es una demanda que alegaba que el DSHS del estado de Washington estaba violando sistemáticamente los derechos de los pacientes considerados NGRI debido a una planificación inadecuada del tratamiento y la liberación. En 2016, el DSHS celebró un acto de conciliación con </w:t>
      </w:r>
      <w:r>
        <w:rPr>
          <w:i/>
        </w:rPr>
        <w:t>Ross</w:t>
      </w:r>
      <w:r>
        <w:t xml:space="preserve">, que dio como resultado nuevos procedimientos para determinar los niveles de pacientes y los privilegios correspondientes. Se supone que esto hace que la planificación del tratamiento y la liberación sea más efectiva y justa. El acuerdo con </w:t>
      </w:r>
      <w:r>
        <w:rPr>
          <w:i/>
        </w:rPr>
        <w:t>Ross</w:t>
      </w:r>
      <w:r>
        <w:t xml:space="preserve"> también creó nuevos procesos para que los pacientes considerados NGRI reclamen las violaciones de derechos y desacuerdos sobre su nivel asignado. También condujo a la contratación de un defensor del pueblo para el paciente considerado NGRI. El defensor del pueblo tiene la autoridad para investigar las denuncias de violaciones de derechos y abogar en nombre de los pacientes considerados NGRI. Los nuevos sistemas y procedimientos que surgieron del acuerdo con </w:t>
      </w:r>
      <w:r>
        <w:rPr>
          <w:i/>
        </w:rPr>
        <w:t>Ross</w:t>
      </w:r>
      <w:r>
        <w:t xml:space="preserve"> se analizan con más detalle en las siguientes secciones.</w:t>
      </w:r>
    </w:p>
    <w:p w:rsidR="003C1164" w:rsidRDefault="00B92574">
      <w:pPr>
        <w:pStyle w:val="Heading1"/>
        <w:numPr>
          <w:ilvl w:val="0"/>
          <w:numId w:val="1"/>
        </w:numPr>
        <w:tabs>
          <w:tab w:val="left" w:pos="1198"/>
          <w:tab w:val="left" w:pos="1199"/>
        </w:tabs>
        <w:spacing w:before="122"/>
        <w:ind w:left="1198" w:hanging="719"/>
      </w:pPr>
      <w:r>
        <w:rPr>
          <w:u w:val="thick"/>
        </w:rPr>
        <w:t>Derechos y privilegios</w:t>
      </w:r>
    </w:p>
    <w:p w:rsidR="003C1164" w:rsidRDefault="003C1164">
      <w:pPr>
        <w:pStyle w:val="BodyText"/>
        <w:spacing w:before="6"/>
        <w:rPr>
          <w:b/>
          <w:sz w:val="14"/>
        </w:rPr>
      </w:pPr>
    </w:p>
    <w:p w:rsidR="003C1164" w:rsidRDefault="00B92574">
      <w:pPr>
        <w:pStyle w:val="ListParagraph"/>
        <w:numPr>
          <w:ilvl w:val="1"/>
          <w:numId w:val="1"/>
        </w:numPr>
        <w:tabs>
          <w:tab w:val="left" w:pos="1561"/>
        </w:tabs>
        <w:spacing w:before="92"/>
        <w:rPr>
          <w:b/>
          <w:sz w:val="24"/>
        </w:rPr>
      </w:pPr>
      <w:r>
        <w:rPr>
          <w:b/>
          <w:sz w:val="24"/>
        </w:rPr>
        <w:t>Sistema de niveles</w:t>
      </w:r>
    </w:p>
    <w:p w:rsidR="003C1164" w:rsidRDefault="003C1164">
      <w:pPr>
        <w:pStyle w:val="BodyText"/>
        <w:spacing w:before="4"/>
        <w:rPr>
          <w:b/>
          <w:sz w:val="22"/>
        </w:rPr>
      </w:pPr>
    </w:p>
    <w:p w:rsidR="003C1164" w:rsidRDefault="00B92574">
      <w:pPr>
        <w:pStyle w:val="BodyText"/>
        <w:spacing w:line="360" w:lineRule="auto"/>
        <w:ind w:left="120" w:right="446" w:firstLine="720"/>
        <w:jc w:val="both"/>
      </w:pPr>
      <w:r>
        <w:t>Los pacientes considerados NGRI pueden trabajar hacia una mayor libertad de movimiento y mayores privilegios a través del sistema de niveles del hospital. Los niveles corresponden a ciertos privilegios, tales como salidas comunitarias, privilegios de acceso a los terrenos del hospital con escolta y sin escolta, permisos autorizados y libertad condicional. Tanto el WSH como el ESH utilizan una evaluación llamada Escala de preparación para el tratamiento ambulatorio comunitario (COTREI) que ayuda a determinar cuál debería ser el nivel del paciente. Esto a menudo se llama un «puntaje de COTREI».</w:t>
      </w:r>
    </w:p>
    <w:p w:rsidR="003C1164" w:rsidRDefault="00B92574">
      <w:pPr>
        <w:pStyle w:val="BodyText"/>
        <w:spacing w:before="120" w:line="360" w:lineRule="auto"/>
        <w:ind w:left="120" w:right="443" w:firstLine="720"/>
        <w:jc w:val="both"/>
      </w:pPr>
      <w:r>
        <w:t>Los niveles van del nivel 1 al nivel 6, y los privilegios correspondientes aumentan con cada aumento de nivel. También hay etapas intermedias dentro de un nivel particular, por ejemplo, nivel 1A, 1B, 2A, 2B, etc. La mayoría de los pacientes considerados NGRI comienzan con el nivel 1A durante las primeras 72 horas que están en el hospital, el cual no cuenta con los privilegios correspondientes. Después de las 72 horas iniciales, un paciente puede ascender al nivel 1B, lo que proporciona algunos privilegios, tales como asistir a clases de tratamiento fuera de la sala y tiempo en el patio al aire libre (a diferencia de los privilegios de acceso total a los terrenos del hospital). Dentro de los 30 días posteriores al ingreso hospitalario, un paciente considerado NGRI debe recibir su evaluación inicial de COTREI y su recomendación de nivel. Se realizan evaluaciones adicionales de COTREI al menos cada 90 días durante la hospitalización de un paciente considerado NGRI.</w:t>
      </w:r>
    </w:p>
    <w:p w:rsidR="003C1164" w:rsidRDefault="00B92574">
      <w:pPr>
        <w:pStyle w:val="BodyText"/>
        <w:spacing w:before="78" w:line="360" w:lineRule="auto"/>
        <w:ind w:left="120" w:right="444" w:firstLine="720"/>
        <w:jc w:val="both"/>
      </w:pPr>
      <w:r>
        <w:t>Una vez que se recomienda a un paciente para un nivel que le permite privilegios de acceso a los terrenos con escolta, el paciente debe presentarse ante la Junta de revisión de riesgos (RRB) para su aprobación. El paciente debe continuar presentándose ante la RRB cada vez que se lo considere para un aumento o nivel de privilegio que permita una mayor libertad de movimiento en los terrenos del hospital o en la comunidad (por ejemplo, privilegios de acceso a los terrenos sin escolta, salidas comunitarias con escolta, viajes de un día sin escolta, libertad condicional dentro de la comunidad o alta final).</w:t>
      </w:r>
    </w:p>
    <w:p w:rsidR="003C1164" w:rsidRDefault="003C1164">
      <w:pPr>
        <w:pStyle w:val="BodyText"/>
        <w:spacing w:before="6"/>
        <w:rPr>
          <w:sz w:val="20"/>
        </w:rPr>
      </w:pPr>
    </w:p>
    <w:p w:rsidR="003C1164" w:rsidRDefault="00B92574">
      <w:pPr>
        <w:pStyle w:val="Heading1"/>
        <w:numPr>
          <w:ilvl w:val="2"/>
          <w:numId w:val="1"/>
        </w:numPr>
        <w:tabs>
          <w:tab w:val="left" w:pos="1894"/>
        </w:tabs>
        <w:jc w:val="both"/>
      </w:pPr>
      <w:r>
        <w:t>¿Qué puedo hacer para subir de nivel?</w:t>
      </w:r>
    </w:p>
    <w:p w:rsidR="003C1164" w:rsidRDefault="00B92574">
      <w:pPr>
        <w:pStyle w:val="BodyText"/>
        <w:spacing w:before="123" w:line="360" w:lineRule="auto"/>
        <w:ind w:left="120" w:right="444" w:firstLine="720"/>
        <w:jc w:val="both"/>
      </w:pPr>
      <w:r>
        <w:t>Los pacientes pueden subir de nivel según su puntaje en la COTREI, la FRA, las recomendaciones de su equipo de tratamiento y las recomendaciones de la RRB. Se supone que el sistema de niveles proporciona orientación a los pacientes considerados NGRI sobre cómo avanzar hasta el alta final, por lo que debe describir los pasos específicos necesarios para pasar al siguiente nivel. La preparación de un paciente considerado NGRI para obtener más privilegios se evalúa cada 90 días durante las conferencias del plan de tratamiento. Sin embargo, el nivel de un paciente puede ser evaluado en cualquier momento por el equipo de tratamiento o por solicitud propia del paciente. Si un paciente piensa que debería pasar a un nivel superior y el equipo de tratamiento no está de acuerdo, el paciente puede apelar a la decisión del equipo de tratamiento. Los pacientes del WSH pueden apelar utilizando el proceso de apelación existente del Centro de servicios forenses. También pueden solicitar ser evaluados dos por la RRB. Los pacientes del ESH pueden apelar la falta de apoyo de su equipo de tratamiento o de la RBB mediante el proceso de reclamo de pacientes existente.</w:t>
      </w:r>
    </w:p>
    <w:p w:rsidR="003C1164" w:rsidRDefault="00B92574">
      <w:pPr>
        <w:pStyle w:val="Heading1"/>
        <w:numPr>
          <w:ilvl w:val="2"/>
          <w:numId w:val="1"/>
        </w:numPr>
        <w:tabs>
          <w:tab w:val="left" w:pos="1919"/>
        </w:tabs>
        <w:spacing w:before="120"/>
        <w:ind w:left="1919" w:hanging="359"/>
        <w:jc w:val="both"/>
      </w:pPr>
      <w:r>
        <w:t>¿Qué puedo hacer si bajan mi nivel?</w:t>
      </w:r>
    </w:p>
    <w:p w:rsidR="003C1164" w:rsidRDefault="003C1164">
      <w:pPr>
        <w:pStyle w:val="BodyText"/>
        <w:spacing w:before="6"/>
        <w:rPr>
          <w:b/>
          <w:sz w:val="22"/>
        </w:rPr>
      </w:pPr>
    </w:p>
    <w:p w:rsidR="003C1164" w:rsidRDefault="00B92574">
      <w:pPr>
        <w:pStyle w:val="BodyText"/>
        <w:spacing w:before="1" w:line="360" w:lineRule="auto"/>
        <w:ind w:left="120" w:right="444" w:firstLine="720"/>
        <w:jc w:val="both"/>
      </w:pPr>
      <w:r>
        <w:t>Cualquier reducción en el nivel de un paciente debe hacerse utilizando el juicio clínico y la razón de la reducción debe documentarse en los registros médicos del paciente. Una violación no intencional o menor de las reglas del hospital por sí sola no es suficiente para una reducción automática de nivel. Cualquier paciente que exprese desacuerdo con una reducción de nivel debe ser informado sobre cómo comunicarse con el defensor del pueblo para los pacientes considerados NGRI para expresar sus inquietudes. El defensor del pueblo para los pacientes considerados NGRI tiene la discreción de llevar estas inquietudes a un médico que no esté relacionado con el equipo de tratamiento del paciente para una revisión independiente. El paciente también podría considerar el uso de procesos de reclamo más generales en el hospital.</w:t>
      </w:r>
    </w:p>
    <w:p w:rsidR="003C1164" w:rsidRDefault="00B92574">
      <w:pPr>
        <w:pStyle w:val="BodyText"/>
        <w:spacing w:before="78" w:line="360" w:lineRule="auto"/>
        <w:ind w:left="120" w:right="444" w:firstLine="720"/>
        <w:jc w:val="both"/>
      </w:pPr>
      <w:r>
        <w:t>Si un paciente tiene privilegios que un tribunal ha aprobado oficialmente (por ejemplo, acceso a terrenos sin escolta, salidas con escolta o permisos autorizados), el hospital debe notificar al tribunal de inmediato si revoca estos privilegios. Luego, el tribunal debe programar una audiencia dentro de los 30 días para determinar si el cambio en los privilegios aprobados por el tribunal está justificado.</w:t>
      </w:r>
    </w:p>
    <w:p w:rsidR="003C1164" w:rsidRDefault="00B92574">
      <w:pPr>
        <w:pStyle w:val="Heading1"/>
        <w:numPr>
          <w:ilvl w:val="1"/>
          <w:numId w:val="1"/>
        </w:numPr>
        <w:tabs>
          <w:tab w:val="left" w:pos="1561"/>
        </w:tabs>
        <w:spacing w:before="119"/>
        <w:jc w:val="both"/>
      </w:pPr>
      <w:r>
        <w:t>Propiedad personal</w:t>
      </w:r>
    </w:p>
    <w:p w:rsidR="003C1164" w:rsidRDefault="003C1164">
      <w:pPr>
        <w:pStyle w:val="BodyText"/>
        <w:spacing w:before="6"/>
        <w:rPr>
          <w:b/>
          <w:sz w:val="22"/>
        </w:rPr>
      </w:pPr>
    </w:p>
    <w:p w:rsidR="003C1164" w:rsidRDefault="00B92574">
      <w:pPr>
        <w:pStyle w:val="BodyText"/>
        <w:spacing w:line="360" w:lineRule="auto"/>
        <w:ind w:left="120" w:right="443" w:firstLine="720"/>
        <w:jc w:val="both"/>
      </w:pPr>
      <w:r>
        <w:t>Los pacientes considerados NGRI pueden tener más propiedad personal a medida que avanzan a través del sistema de niveles y trabajan hacia el alta final del hospital. Cualquier restricción a la propiedad personal debe individualizarse a la persona y documentarse en el plan de tratamiento del paciente. Los pacientes considerados NGRI pueden hablar con su equipo de tratamiento sobre los artículos que se les permite tener. Si no se les permite tener ciertos artículos, pueden preguntar a su equipo de tratamiento cuál es el motivo individualizado de esta restricción. Si no están de acuerdo, pueden usar el proceso regular de reclamo de pacientes en el WSH y el ESH.</w:t>
      </w:r>
    </w:p>
    <w:p w:rsidR="003C1164" w:rsidRDefault="00B92574">
      <w:pPr>
        <w:pStyle w:val="BodyText"/>
        <w:spacing w:before="119" w:line="360" w:lineRule="auto"/>
        <w:ind w:left="120" w:right="444" w:firstLine="720"/>
        <w:jc w:val="both"/>
      </w:pPr>
      <w:r>
        <w:t>Un paciente también puede obtener artículos de propiedad personal que están disponibles a través de un sistema de caja, lo que significa que puede tenerlos por períodos más cortos de tiempo y debe devolverlos al personal del hospital que mantiene la propiedad asegurada en un lugar seguro. El ESH y WSH tienen listas de artículos que están permitidos en el terreno y son parte del sistema de caja. Los pacientes pueden solicitar revisar esta lista. El hospital también debe tener una lista de artículos de contrabando (es decir, artículos que no están permitidos para ningún paciente, sin importar su nivel), específicos para diferentes áreas del hospital. Por ejemplo, si el hospital tiene áreas de seguridad máxima, intermedia o mínima, cada nivel de seguridad debe tener una lista única de contrabando que coincida con ese nivel de seguridad.</w:t>
      </w:r>
    </w:p>
    <w:p w:rsidR="003C1164" w:rsidRDefault="00B92574">
      <w:pPr>
        <w:pStyle w:val="Heading1"/>
        <w:numPr>
          <w:ilvl w:val="1"/>
          <w:numId w:val="1"/>
        </w:numPr>
        <w:tabs>
          <w:tab w:val="left" w:pos="1561"/>
        </w:tabs>
        <w:spacing w:before="122"/>
        <w:jc w:val="both"/>
      </w:pPr>
      <w:r>
        <w:t>Acceso a los terrenos</w:t>
      </w:r>
    </w:p>
    <w:p w:rsidR="003C1164" w:rsidRDefault="003C1164">
      <w:pPr>
        <w:pStyle w:val="BodyText"/>
        <w:spacing w:before="3"/>
        <w:rPr>
          <w:b/>
          <w:sz w:val="22"/>
        </w:rPr>
      </w:pPr>
    </w:p>
    <w:p w:rsidR="003C1164" w:rsidRDefault="00B92574">
      <w:pPr>
        <w:pStyle w:val="BodyText"/>
        <w:spacing w:line="360" w:lineRule="auto"/>
        <w:ind w:left="120" w:right="444" w:firstLine="720"/>
        <w:jc w:val="both"/>
      </w:pPr>
      <w:r>
        <w:t>Cuando un paciente considerado NGRI llega por primera vez al ESH o al WSH, generalmente solo puede acceder a la sala en la que se encuentra, a los espacios de tratamiento y al espacio recreativo al aire libre adjunto a la sala («el patio»). Para obtener acceso adicional a los terrenos del hospital, los pacientes deben ascender en sus niveles o un tribunal que esté considerando la libertad condicional del paciente les debe otorgar dicho acceso. Los privilegios de acceso a los terrenos pueden ser con escolta, lo que significa que el paciente está con al menos un miembro del personal, o sin escolta, lo que significa que el paciente no necesita estar con un miembro del personal.</w:t>
      </w:r>
    </w:p>
    <w:p w:rsidR="003C1164" w:rsidRDefault="00B92574">
      <w:pPr>
        <w:pStyle w:val="BodyText"/>
        <w:spacing w:before="78" w:line="360" w:lineRule="auto"/>
        <w:ind w:left="120" w:right="447" w:firstLine="853"/>
        <w:jc w:val="both"/>
      </w:pPr>
      <w:r>
        <w:t>Los privilegios de acceso a los terrenos con escolta o sin escolta deben basarse en la evaluación individualizada de un paciente. La RRB también debe revisar los privilegios de acceso a los terrenos sin escolta y el tribunal debe aprobarlos. En el WSH, un paciente con privilegios de acceso a los terrenos está sujeto a un chequeo de contrabando antes de salir y al regresar a la sala.</w:t>
      </w:r>
    </w:p>
    <w:p w:rsidR="003C1164" w:rsidRDefault="003C1164">
      <w:pPr>
        <w:pStyle w:val="BodyText"/>
        <w:spacing w:before="7"/>
        <w:rPr>
          <w:sz w:val="20"/>
        </w:rPr>
      </w:pPr>
    </w:p>
    <w:p w:rsidR="003C1164" w:rsidRDefault="00B92574">
      <w:pPr>
        <w:pStyle w:val="Heading1"/>
        <w:numPr>
          <w:ilvl w:val="1"/>
          <w:numId w:val="1"/>
        </w:numPr>
        <w:tabs>
          <w:tab w:val="left" w:pos="1561"/>
        </w:tabs>
        <w:spacing w:before="1"/>
      </w:pPr>
      <w:r>
        <w:t>Inspección sin ropa e inspección de las cavidades corporales</w:t>
      </w:r>
    </w:p>
    <w:p w:rsidR="003C1164" w:rsidRDefault="003C1164">
      <w:pPr>
        <w:pStyle w:val="BodyText"/>
        <w:spacing w:before="4"/>
        <w:rPr>
          <w:b/>
          <w:sz w:val="29"/>
        </w:rPr>
      </w:pPr>
    </w:p>
    <w:p w:rsidR="003C1164" w:rsidRDefault="00B92574">
      <w:pPr>
        <w:pStyle w:val="BodyText"/>
        <w:spacing w:line="360" w:lineRule="auto"/>
        <w:ind w:left="120" w:right="444" w:firstLine="720"/>
        <w:jc w:val="both"/>
      </w:pPr>
      <w:r>
        <w:t>Las inspecciones sin ropa y las inspecciones de las cavidades corporales solo se pueden realizar cuando existe una sospecha razonable de que el paciente está ocultando el contrabando, lo cual implica una amenaza inminente para la vida o la seguridad. Las inspecciones sin ropa e inspección de las cavidades corporales deben ser ordenadas por un médico y aprobadas por el director general del hospital respectivo. Toda inspección sin ropa o de las cavidades corporales de los pacientes activará un informe administrativo que contenga como mínimo lo siguiente: la fecha y la hora de la inspección; los hechos que indican que el presunto contrabando representa una amenaza inminente para la vida o la seguridad; nombres de las personas involucradas en la inspección; ubicación de la inspección; y, si se encontró algún contrabando, una lista escrita y fotografías de los artículos de contrabando.</w:t>
      </w:r>
    </w:p>
    <w:p w:rsidR="003C1164" w:rsidRDefault="003C1164">
      <w:pPr>
        <w:pStyle w:val="BodyText"/>
        <w:spacing w:before="7"/>
        <w:rPr>
          <w:sz w:val="20"/>
        </w:rPr>
      </w:pPr>
    </w:p>
    <w:p w:rsidR="003C1164" w:rsidRDefault="00B92574">
      <w:pPr>
        <w:pStyle w:val="Heading1"/>
        <w:numPr>
          <w:ilvl w:val="1"/>
          <w:numId w:val="1"/>
        </w:numPr>
        <w:tabs>
          <w:tab w:val="left" w:pos="1561"/>
        </w:tabs>
      </w:pPr>
      <w:r>
        <w:t>Medicación involuntaria</w:t>
      </w:r>
    </w:p>
    <w:p w:rsidR="003C1164" w:rsidRDefault="00B92574">
      <w:pPr>
        <w:pStyle w:val="BodyText"/>
        <w:spacing w:before="123" w:line="360" w:lineRule="auto"/>
        <w:ind w:left="120" w:right="447" w:firstLine="720"/>
        <w:jc w:val="both"/>
      </w:pPr>
      <w:r>
        <w:t>Las políticas y prácticas para administrar medicamentos a un paciente considerado NGRI cuando el paciente no lo desea dependen de si el medicamento es antipsicótico o no.</w:t>
      </w:r>
    </w:p>
    <w:p w:rsidR="003C1164" w:rsidRDefault="003C1164">
      <w:pPr>
        <w:pStyle w:val="BodyText"/>
        <w:spacing w:before="7"/>
        <w:rPr>
          <w:sz w:val="20"/>
        </w:rPr>
      </w:pPr>
    </w:p>
    <w:p w:rsidR="003C1164" w:rsidRDefault="00B92574">
      <w:pPr>
        <w:pStyle w:val="Heading1"/>
        <w:numPr>
          <w:ilvl w:val="2"/>
          <w:numId w:val="1"/>
        </w:numPr>
        <w:tabs>
          <w:tab w:val="left" w:pos="2365"/>
        </w:tabs>
        <w:ind w:left="2364" w:hanging="265"/>
        <w:jc w:val="both"/>
      </w:pPr>
      <w:r>
        <w:t>Medicación antipsicótica</w:t>
      </w:r>
    </w:p>
    <w:p w:rsidR="003C1164" w:rsidRDefault="00B92574">
      <w:pPr>
        <w:pStyle w:val="BodyText"/>
        <w:spacing w:before="123" w:line="360" w:lineRule="auto"/>
        <w:ind w:left="120" w:right="445" w:firstLine="720"/>
        <w:jc w:val="both"/>
      </w:pPr>
      <w:r>
        <w:t>Los pacientes considerados NGRI pueden ser tratados involuntariamente con medicamentos antipsicóticos solo por una orden judicial. Hay una excepción para las «emergencias de tratamiento», que permite al hospital medicar involuntariamente a un paciente considerado NGRI por hasta 24 horas en ciertas situaciones. En el WSH, existe una emergencia de tratamiento cuando un paciente demuestra comportamientos o problemas médicos que presentan una probabilidad inminente de daño grave. En el ESH, existe una emergencia de tratamiento si el paciente presenta una probabilidad inminente de daño grave para sí mismo u otros, es poco probable que las alternativas médicas a la medicación antipsicótica tengan éxito, el tratamiento propuesto es necesario para tratar la enfermedad o los síntomas responsables del peligro inminente, y un médico declara que el estado del paciente califica como una emergencia.</w:t>
      </w:r>
    </w:p>
    <w:p w:rsidR="003C1164" w:rsidRDefault="00B92574" w:rsidP="0007429C">
      <w:pPr>
        <w:pStyle w:val="BodyText"/>
        <w:spacing w:before="121" w:line="360" w:lineRule="auto"/>
        <w:ind w:left="120" w:right="444" w:firstLine="720"/>
        <w:jc w:val="both"/>
      </w:pPr>
      <w:r>
        <w:t>Los pacientes pueden solicitar una revisión de la orden judicial para medicación involuntaria y pueden buscar la ayuda de su equipo de tratamiento o abogado, si tienen uno. Si un paciente considerado NGRI</w:t>
      </w:r>
      <w:r w:rsidR="0007429C">
        <w:t xml:space="preserve"> </w:t>
      </w:r>
      <w:r>
        <w:t>desea luchar contra una orden judicial de medicación involuntaria, debe comunicarse con su abogado si se le asigna uno u otros defensores disponibles (</w:t>
      </w:r>
      <w:r>
        <w:rPr>
          <w:i/>
        </w:rPr>
        <w:t xml:space="preserve">consulte </w:t>
      </w:r>
      <w:r>
        <w:t>Sección VI: Qué hacer si no está de acuerdo con su equipo de tratamiento).</w:t>
      </w:r>
    </w:p>
    <w:p w:rsidR="003C1164" w:rsidRDefault="003C1164">
      <w:pPr>
        <w:pStyle w:val="BodyText"/>
        <w:spacing w:before="6"/>
        <w:rPr>
          <w:sz w:val="20"/>
        </w:rPr>
      </w:pPr>
    </w:p>
    <w:p w:rsidR="003C1164" w:rsidRDefault="00B92574">
      <w:pPr>
        <w:pStyle w:val="Heading1"/>
        <w:numPr>
          <w:ilvl w:val="2"/>
          <w:numId w:val="1"/>
        </w:numPr>
        <w:tabs>
          <w:tab w:val="left" w:pos="2380"/>
        </w:tabs>
        <w:ind w:left="2379" w:hanging="280"/>
        <w:jc w:val="both"/>
      </w:pPr>
      <w:r>
        <w:t>Otra medicación</w:t>
      </w:r>
    </w:p>
    <w:p w:rsidR="003C1164" w:rsidRDefault="00B92574">
      <w:pPr>
        <w:pStyle w:val="BodyText"/>
        <w:spacing w:before="123" w:line="360" w:lineRule="auto"/>
        <w:ind w:left="120" w:right="444" w:firstLine="720"/>
        <w:jc w:val="both"/>
      </w:pPr>
      <w:r>
        <w:t>Para los medicamentos que no son antipsicóticos, el WSH y ESH pueden administrar medicamentos involuntariamente bajo lo que a veces se denomina «anulación concurrente de opinión médica». Esto significa que dos médicos han acordado que es necesario medicar involuntariamente al paciente después de considerar los riesgos, los beneficios y las alternativas al tratamiento, así como el diagnóstico, el historial de tratamiento y otros factores relevantes de la toma de decisiones clínicas. Este razonamiento debe registrarse en el plan de tratamiento del paciente. En el WSH, esta decisión debe revisarse nuevamente después de 90 días. En el ESH, todos los tratamientos involuntarios aparte del pedido de medicación antipsicótica deben ser revisados por el director médico o la persona designada a los 30 días, en la internación de 90 días y luego en cada internación de 180 días.</w:t>
      </w:r>
    </w:p>
    <w:p w:rsidR="003C1164" w:rsidRDefault="00B92574">
      <w:pPr>
        <w:pStyle w:val="Heading1"/>
        <w:numPr>
          <w:ilvl w:val="0"/>
          <w:numId w:val="1"/>
        </w:numPr>
        <w:tabs>
          <w:tab w:val="left" w:pos="1199"/>
          <w:tab w:val="left" w:pos="1200"/>
        </w:tabs>
        <w:spacing w:before="120"/>
        <w:ind w:left="1199"/>
      </w:pPr>
      <w:r>
        <w:rPr>
          <w:u w:val="thick"/>
        </w:rPr>
        <w:t>Lograr la libertad condicional y el alta final</w:t>
      </w:r>
    </w:p>
    <w:p w:rsidR="003C1164" w:rsidRDefault="003C1164">
      <w:pPr>
        <w:pStyle w:val="BodyText"/>
        <w:spacing w:before="6"/>
        <w:rPr>
          <w:b/>
          <w:sz w:val="14"/>
        </w:rPr>
      </w:pPr>
    </w:p>
    <w:p w:rsidR="003C1164" w:rsidRDefault="00B92574">
      <w:pPr>
        <w:pStyle w:val="BodyText"/>
        <w:spacing w:before="92" w:line="360" w:lineRule="auto"/>
        <w:ind w:left="120" w:right="445" w:firstLine="720"/>
        <w:jc w:val="both"/>
      </w:pPr>
      <w:r>
        <w:t>A la llegada de un paciente considerado NGRI al WSH o al ESH, el personal debe comenzar el proceso de planificación del alta tan pronto como sea clínicamente apropiado hacerlo. Se supone que el sistema de niveles ayuda al paciente a obtener mayores privilegios a medida que avanza hacia la libertad condicional y, finalmente, el alta final. Pasar al nivel 4 generalmente se considera la transición a la libertad condicional. Una vez que un paciente pasa al nivel 4, su progreso también es supervisado por la RRB y el PSRP. Aunque el tribunal no se involucra en la decisión del nivel del paciente, debe aprobar el cambio en el estado legal del paciente a libertad condicional o alta final.</w:t>
      </w:r>
    </w:p>
    <w:p w:rsidR="003C1164" w:rsidRDefault="00B92574">
      <w:pPr>
        <w:pStyle w:val="BodyText"/>
        <w:spacing w:before="121" w:line="360" w:lineRule="auto"/>
        <w:ind w:left="120" w:right="444" w:firstLine="720"/>
        <w:jc w:val="both"/>
      </w:pPr>
      <w:r>
        <w:t>Un individuo puede trabajar hacia los niveles más altos con el apoyo de la RRB y el PSRP para lograr su libertad condicional o alta final. O bien, un paciente puede solicitar la libertad condicional o el alta final presentando una solicitud ante el DSHS o solicitando directamente al tribunal.</w:t>
      </w:r>
    </w:p>
    <w:p w:rsidR="003C1164" w:rsidRDefault="003C1164">
      <w:pPr>
        <w:spacing w:line="360" w:lineRule="auto"/>
        <w:jc w:val="both"/>
        <w:sectPr w:rsidR="003C1164">
          <w:footerReference w:type="default" r:id="rId8"/>
          <w:pgSz w:w="12240" w:h="15840"/>
          <w:pgMar w:top="1360" w:right="1000" w:bottom="1260" w:left="1320" w:header="0" w:footer="1068" w:gutter="0"/>
          <w:cols w:space="720"/>
        </w:sectPr>
      </w:pPr>
    </w:p>
    <w:p w:rsidR="003C1164" w:rsidRDefault="00B92574">
      <w:pPr>
        <w:pStyle w:val="Heading1"/>
        <w:numPr>
          <w:ilvl w:val="1"/>
          <w:numId w:val="1"/>
        </w:numPr>
        <w:tabs>
          <w:tab w:val="left" w:pos="1561"/>
        </w:tabs>
        <w:spacing w:before="75"/>
        <w:jc w:val="both"/>
      </w:pPr>
      <w:r>
        <w:t>Equipo de tratamiento, la RRB y el PSRP</w:t>
      </w:r>
    </w:p>
    <w:p w:rsidR="003C1164" w:rsidRDefault="00B92574">
      <w:pPr>
        <w:pStyle w:val="BodyText"/>
        <w:spacing w:before="123" w:line="360" w:lineRule="auto"/>
        <w:ind w:left="120" w:right="445" w:firstLine="720"/>
        <w:jc w:val="both"/>
      </w:pPr>
      <w:r>
        <w:t>Al igual que para subir de nivel y obtener privilegios, el primer paso para que un paciente considerado NGRI logre obtener la libertad condicional y el alta final es normalmente trabajar con su equipo de tratamiento. Un paciente puede completar un formulario de solicitud para cualquier cambio que solicite (nota: estos formularios son diferentes dependiendo de si se trata de un cambio en el nivel y los privilegios o un cambio en el estado de liberación legal). El equipo de tratamiento revisará esta solicitud y determinará si la respaldan. Se requiere que la RRB revise la solicitud cuando un paciente solicita privilegios asociados con el nivel 3 y superior a este, tales como privilegios de acceso a los terrenos con escolta (fuera de la cerca del cuadrilátero del WSH para pacientes en el WSH), privilegios de acceso a los terrenos sin escolta o salidas comunitarias con o sin escolta. Además, la RRB revisa las solicitudes de permiso para ingresar a la comunidad y asistir a un funeral o visitar a un miembro de la familia inmediata gravemente enfermo.</w:t>
      </w:r>
    </w:p>
    <w:p w:rsidR="003C1164" w:rsidRDefault="00B92574">
      <w:pPr>
        <w:pStyle w:val="BodyText"/>
        <w:spacing w:before="119" w:line="360" w:lineRule="auto"/>
        <w:ind w:left="120" w:right="445" w:firstLine="720"/>
        <w:jc w:val="both"/>
      </w:pPr>
      <w:r>
        <w:t>La RRB revisará la solicitud del paciente considerado NGRI, la opinión del equipo de tratamiento y las evaluaciones relevantes, incluidas los puntajes anteriores y actualizados de la COTREI. La RRB también entrevistará al paciente y el paciente puede abogar por sí mismo a menos que existan problemas clínicos o de seguridad. Un paciente tiene derecho a rechazar una entrevista por la RRB. El paciente puede invitar a una persona a estar presente en la entrevista de la RRB al paciente, pero el invitado no puede hacer ninguna pregunta a la RRB. El invitado del paciente puede ser un defensor, un abogado, un especialista en apoyo de pares, el CEO del hospital u otros. Los invitados no pueden estar presentes durante las deliberaciones de la RRB.</w:t>
      </w:r>
    </w:p>
    <w:p w:rsidR="003C1164" w:rsidRDefault="00B92574">
      <w:pPr>
        <w:pStyle w:val="BodyText"/>
        <w:spacing w:line="360" w:lineRule="auto"/>
        <w:ind w:left="120" w:right="441" w:firstLine="720"/>
        <w:jc w:val="both"/>
      </w:pPr>
      <w:r>
        <w:t>Después de que la RRB revise todos los materiales y considere la entrevista del paciente, decidirá si respalda la solicitud del paciente. Se supone que la RRB respalda la solicitud de libertad condicional o alta final de un paciente a menos que pueda identificar claramente las preocupaciones sobre la peligrosidad del paciente en la comunidad. Se supone que esas preocupaciones específicas deben documentarse y respaldarse en el registro de tratamiento del paciente. Si la RRB decide no apoyar la solicitud del paciente, esa decisión también debe documentarse en los registros del paciente. La RRB debe proporcionar al paciente comentarios por escrito sobre los pasos que pueden tomar para obtener el apoyo de la RRB.</w:t>
      </w:r>
    </w:p>
    <w:p w:rsidR="003C1164" w:rsidRDefault="00B92574" w:rsidP="0037261E">
      <w:pPr>
        <w:pStyle w:val="BodyText"/>
        <w:spacing w:before="1" w:line="360" w:lineRule="auto"/>
        <w:ind w:left="120" w:right="445" w:firstLine="720"/>
        <w:jc w:val="both"/>
      </w:pPr>
      <w:r>
        <w:t xml:space="preserve">Si la RRB respalda la solicitud del paciente, enviará sus conclusiones al DSHS para una recomendación formal. El DSHS luego reenviará su recomendación al Panel de revisión de la seguridad pública (PSRP) para su revisión. </w:t>
      </w:r>
    </w:p>
    <w:p w:rsidR="003C1164" w:rsidRDefault="0037261E">
      <w:pPr>
        <w:pStyle w:val="BodyText"/>
        <w:spacing w:before="78" w:line="360" w:lineRule="auto"/>
        <w:ind w:left="120" w:right="446"/>
        <w:jc w:val="both"/>
      </w:pPr>
      <w:r>
        <w:t>Cuando el PSRP recibe una solicitud de cambio de estado o privilegios adicionales, tiene un período de tiempo específico para revisar la solicitud y responder al DSHS: 30 días para solicitudes de libertad condicional y 45 días para solicitudes de alta final. Independientemente de la respuesta del PSRP (si corresponde), el DSHS debe enviar su recomendación de libertad condicional o alta final al abogado del paciente, al fiscal asignado y al tribunal dentro de los diez días posteriores al período de revisión del PSRP.</w:t>
      </w:r>
    </w:p>
    <w:p w:rsidR="003C1164" w:rsidRDefault="00B92574">
      <w:pPr>
        <w:pStyle w:val="BodyText"/>
        <w:spacing w:before="119" w:line="360" w:lineRule="auto"/>
        <w:ind w:left="120" w:right="446" w:firstLine="720"/>
        <w:jc w:val="both"/>
      </w:pPr>
      <w:r>
        <w:t>Al recibir la recomendación del DSHS, el tribunal debe programar una audiencia dentro de los 30 días (para la libertad condicional) o 45 días (para el alta final). En la audiencia, el peticionario debe tratar de demostrar que el paciente considerado NGRI ya no representa un peligro sustancial para los demás o una probabilidad sustancial de cometer actos criminales.</w:t>
      </w:r>
    </w:p>
    <w:p w:rsidR="003C1164" w:rsidRDefault="00B92574">
      <w:pPr>
        <w:pStyle w:val="BodyText"/>
        <w:spacing w:before="120" w:line="360" w:lineRule="auto"/>
        <w:ind w:left="120" w:right="446" w:firstLine="720"/>
        <w:jc w:val="both"/>
      </w:pPr>
      <w:r>
        <w:t>Tenga en cuenta que si el DSHS cree que un paciente considerado NGRI es apropiado para la libertad condicional o el alta final, puede solicitar al tribunal en nombre del paciente, incluso si el paciente no lo ha solicitado.</w:t>
      </w:r>
    </w:p>
    <w:p w:rsidR="003C1164" w:rsidRDefault="00B92574">
      <w:pPr>
        <w:pStyle w:val="BodyText"/>
        <w:spacing w:before="121" w:line="360" w:lineRule="auto"/>
        <w:ind w:left="120" w:right="446" w:firstLine="720"/>
        <w:jc w:val="both"/>
      </w:pPr>
      <w:r>
        <w:t>Un paciente considerado NGRI cuya petición de libertad condicional o alta final es rechazada por el tribunal no puede volver a presentar una solicitud durante seis meses. El paciente puede discutir con su abogado si puede apelar la decisión del tribunal.</w:t>
      </w:r>
    </w:p>
    <w:p w:rsidR="003C1164" w:rsidRDefault="003C1164">
      <w:pPr>
        <w:pStyle w:val="BodyText"/>
        <w:spacing w:before="7"/>
        <w:rPr>
          <w:sz w:val="20"/>
        </w:rPr>
      </w:pPr>
    </w:p>
    <w:p w:rsidR="003C1164" w:rsidRDefault="00B92574">
      <w:pPr>
        <w:pStyle w:val="Heading1"/>
        <w:numPr>
          <w:ilvl w:val="1"/>
          <w:numId w:val="1"/>
        </w:numPr>
        <w:tabs>
          <w:tab w:val="left" w:pos="1561"/>
        </w:tabs>
        <w:jc w:val="both"/>
      </w:pPr>
      <w:r>
        <w:t>Presentación directa ante el DSHS</w:t>
      </w:r>
    </w:p>
    <w:p w:rsidR="003C1164" w:rsidRDefault="00B92574">
      <w:pPr>
        <w:pStyle w:val="BodyText"/>
        <w:spacing w:before="122" w:line="360" w:lineRule="auto"/>
        <w:ind w:left="120" w:right="445" w:firstLine="720"/>
        <w:jc w:val="both"/>
      </w:pPr>
      <w:r>
        <w:t>Cada seis meses, los pacientes considerados NGRI tienen derecho a una evaluación de su estado mental. En base a esta evaluación, se creará un informe que determine si el paciente cumple con los criterios para la libertad condicional. Este informe debe presentarse ante el tribunal y mantenerse en el registro médico del paciente. El paciente puede solicitar una copia. Un paciente considerado NGRI también puede contratar a un experto para hacer esta evaluación. Si el paciente no puede pagar un experto y solicita el nombramiento de un experto por parte del tribunal, este puede designar uno, pero no está obligado a hacerlo.</w:t>
      </w:r>
    </w:p>
    <w:p w:rsidR="003C1164" w:rsidRDefault="00B92574" w:rsidP="0037261E">
      <w:pPr>
        <w:pStyle w:val="BodyText"/>
        <w:spacing w:before="122" w:line="360" w:lineRule="auto"/>
        <w:ind w:left="120" w:right="445" w:firstLine="720"/>
        <w:jc w:val="both"/>
      </w:pPr>
      <w:r>
        <w:t>Inmediatamente después de la evaluación de seis meses, un paciente puede presentar una solicitud de libertad condicional o alta final al secretario del DSHS. Luego, el DSHS manejará la solicitud de CR o alta final en general de la misma manera que maneja las solicitudes que llegan a través del proceso de la RRB y del PSRP, lo que resulta en una audiencia judicial como se describió anteriormente (</w:t>
      </w:r>
      <w:r>
        <w:rPr>
          <w:i/>
        </w:rPr>
        <w:t>consulte la</w:t>
      </w:r>
      <w:r>
        <w:t xml:space="preserve"> Sección V(a): «Equipo de tratamiento, la RRB y el PSRP»). Luego, el tribunal toma la decisión final sobre la libertad condicional o el alta final. </w:t>
      </w:r>
    </w:p>
    <w:p w:rsidR="003C1164" w:rsidRDefault="0037261E">
      <w:pPr>
        <w:pStyle w:val="BodyText"/>
        <w:spacing w:before="78" w:line="360" w:lineRule="auto"/>
        <w:ind w:left="120" w:right="446"/>
        <w:jc w:val="both"/>
      </w:pPr>
      <w:r>
        <w:t>El personal debe proporcionar a la persona que desea la asistencia de un abogado durante el proceso posterior a la solicitud el formulario de petición «Moción del acusado para un abogado designado por el tribunal», el cual debe presentarse ante el tribunal inmediatamente después de entregar la solicitud al DSHS.</w:t>
      </w:r>
    </w:p>
    <w:p w:rsidR="003C1164" w:rsidRDefault="003C1164">
      <w:pPr>
        <w:pStyle w:val="BodyText"/>
        <w:spacing w:before="6"/>
        <w:rPr>
          <w:sz w:val="20"/>
        </w:rPr>
      </w:pPr>
    </w:p>
    <w:p w:rsidR="003C1164" w:rsidRDefault="00B92574">
      <w:pPr>
        <w:pStyle w:val="Heading1"/>
        <w:numPr>
          <w:ilvl w:val="1"/>
          <w:numId w:val="1"/>
        </w:numPr>
        <w:tabs>
          <w:tab w:val="left" w:pos="1561"/>
        </w:tabs>
        <w:jc w:val="both"/>
      </w:pPr>
      <w:r>
        <w:t>Presentación directa ante el tribunal</w:t>
      </w:r>
    </w:p>
    <w:p w:rsidR="003C1164" w:rsidRDefault="00B92574">
      <w:pPr>
        <w:pStyle w:val="BodyText"/>
        <w:spacing w:before="123" w:line="360" w:lineRule="auto"/>
        <w:ind w:left="120" w:right="443" w:firstLine="720"/>
        <w:jc w:val="both"/>
      </w:pPr>
      <w:r>
        <w:t>Otra forma para que un paciente considerado NGRI busque la libertad condicional o el alta final es presentando una petición directamente ante el tribunal. Como se mencionó anteriormente, un paciente no tiene que pasar por la RRB o el PSRP si el paciente opta por presentar su solicitud directamente ante el tribunal, pero es posible que el tribunal considere la opinión del PSRP o del DSHS sobre la solicitud del paciente.</w:t>
      </w:r>
    </w:p>
    <w:p w:rsidR="003C1164" w:rsidRDefault="00B92574">
      <w:pPr>
        <w:pStyle w:val="BodyText"/>
        <w:spacing w:before="121" w:line="360" w:lineRule="auto"/>
        <w:ind w:left="120" w:right="443" w:firstLine="720"/>
        <w:jc w:val="both"/>
      </w:pPr>
      <w:r>
        <w:t>El DSHS creó los formularios para solicitar directamente ante el tribunal, incluida la solicitud de un abogado designado por el tribunal. Se pueden obtener preguntando al equipo de tratamiento. Si este medio no tiene éxito, un paciente puede querer contactar al defensor del pueblo para los pacientes considerados NGRI o a DRW directamente. El equipo de tratamiento también debe dar instrucciones sobre cómo completar los formularios del tribunal. El tribunal reconoce que debido a que un paciente considerado NGRI no tiene derecho a un abogado para ayudarlo a presentar la petición, la petición de libertad condicional o alta final no tiene que cumplir con el mismo alto estándar que el tribunal esperaría de un abogado capacitado.</w:t>
      </w:r>
    </w:p>
    <w:p w:rsidR="003C1164" w:rsidRDefault="00B92574">
      <w:pPr>
        <w:pStyle w:val="BodyText"/>
        <w:spacing w:before="120" w:line="360" w:lineRule="auto"/>
        <w:ind w:left="120" w:right="446" w:firstLine="720"/>
        <w:jc w:val="both"/>
      </w:pPr>
      <w:r>
        <w:t>Al recibir la petición de un paciente considerado NGRI para la libertad condicional o el alta final, el tribunal debe programar una audiencia dentro de los 30 días (para la libertad condicional) o 45 días (para el alta final). El tribunal puede programar una audiencia incluso si el DSHS no respalda activamente la solicitud del paciente. En la audiencia, el peticionario debe tratar de demostrar que el paciente considerado NGRI ya no representa, debido a una enfermedad mental, un peligro sustancial para los demás o una probabilidad sustancial de cometer actos criminales.</w:t>
      </w:r>
    </w:p>
    <w:p w:rsidR="003C1164" w:rsidRDefault="00B92574">
      <w:pPr>
        <w:pStyle w:val="BodyText"/>
        <w:spacing w:before="121" w:line="360" w:lineRule="auto"/>
        <w:ind w:left="120" w:right="446" w:firstLine="720"/>
        <w:jc w:val="both"/>
      </w:pPr>
      <w:r>
        <w:t>Un paciente considerado NGRI cuya petición de libertad condicional o alta final es rechazada por el tribunal no puede volver a presentar una solicitud durante seis meses. El paciente puede discutir con su abogado si puede apelar la decisión del tribunal.</w:t>
      </w:r>
    </w:p>
    <w:p w:rsidR="003C1164" w:rsidRDefault="003C1164">
      <w:pPr>
        <w:pStyle w:val="BodyText"/>
        <w:spacing w:before="6"/>
        <w:rPr>
          <w:sz w:val="20"/>
        </w:rPr>
      </w:pPr>
    </w:p>
    <w:p w:rsidR="003C1164" w:rsidRDefault="00B92574">
      <w:pPr>
        <w:pStyle w:val="Heading1"/>
        <w:numPr>
          <w:ilvl w:val="1"/>
          <w:numId w:val="1"/>
        </w:numPr>
        <w:tabs>
          <w:tab w:val="left" w:pos="1561"/>
        </w:tabs>
        <w:jc w:val="both"/>
      </w:pPr>
      <w:r>
        <w:t>Hábeas corpus</w:t>
      </w:r>
    </w:p>
    <w:p w:rsidR="003C1164" w:rsidRDefault="00B92574" w:rsidP="0037261E">
      <w:pPr>
        <w:pStyle w:val="BodyText"/>
        <w:spacing w:before="123" w:line="360" w:lineRule="auto"/>
        <w:ind w:left="120" w:right="445" w:firstLine="720"/>
        <w:jc w:val="both"/>
      </w:pPr>
      <w:r>
        <w:t xml:space="preserve">Un paciente considerado NGRI puede presentar un recurso de hábeas corpus en cualquier momento cuestionando su internación continua y buscando la libertad. </w:t>
      </w:r>
    </w:p>
    <w:p w:rsidR="003C1164" w:rsidRDefault="0037261E">
      <w:pPr>
        <w:pStyle w:val="BodyText"/>
        <w:spacing w:before="78" w:line="360" w:lineRule="auto"/>
        <w:ind w:left="120" w:right="444"/>
        <w:jc w:val="both"/>
      </w:pPr>
      <w:r>
        <w:t>Un «recurso de hábeas corpus» es un documento que un paciente presenta ante el tribunal para solicitar una revisión de su internación. Explica al tribunal por qué el paciente siente que está detenido ilegalmente y que le gustaría ser liberado. Para obtener ayuda con un recurso de hábeas corpus, un paciente puede consultar a su abogado (si ya tiene uno trabajando con él/ella). También puede preguntarle a su equipo de tratamiento sobre esto.</w:t>
      </w:r>
    </w:p>
    <w:p w:rsidR="003C1164" w:rsidRDefault="003C1164">
      <w:pPr>
        <w:pStyle w:val="BodyText"/>
        <w:spacing w:before="6"/>
        <w:rPr>
          <w:sz w:val="20"/>
        </w:rPr>
      </w:pPr>
    </w:p>
    <w:p w:rsidR="003C1164" w:rsidRDefault="00B92574">
      <w:pPr>
        <w:pStyle w:val="Heading1"/>
        <w:numPr>
          <w:ilvl w:val="1"/>
          <w:numId w:val="1"/>
        </w:numPr>
        <w:tabs>
          <w:tab w:val="left" w:pos="1561"/>
        </w:tabs>
        <w:jc w:val="both"/>
      </w:pPr>
      <w:r>
        <w:t>Derecho a un abogado</w:t>
      </w:r>
    </w:p>
    <w:p w:rsidR="003C1164" w:rsidRDefault="00B92574">
      <w:pPr>
        <w:pStyle w:val="BodyText"/>
        <w:spacing w:before="123" w:line="360" w:lineRule="auto"/>
        <w:ind w:left="120" w:right="439" w:firstLine="720"/>
        <w:jc w:val="both"/>
      </w:pPr>
      <w:r>
        <w:t xml:space="preserve">Un paciente considerado NGRI </w:t>
      </w:r>
      <w:r>
        <w:rPr>
          <w:u w:val="single"/>
        </w:rPr>
        <w:t>no</w:t>
      </w:r>
      <w:r>
        <w:t xml:space="preserve"> tiene derecho a un abogado durante toda la duración de su internación en el hospital. Sin embargo, un paciente considerado NGRI </w:t>
      </w:r>
      <w:r>
        <w:rPr>
          <w:u w:val="single"/>
        </w:rPr>
        <w:t>tiene</w:t>
      </w:r>
      <w:r>
        <w:t xml:space="preserve"> el derecho a un abogado una vez que presenta una solicitud al DSHS o solicita al tribunal directamente la libertad condicional o el alta final. Aunque, en teoría, este derecho a un abogado se activa tan pronto como el paciente presenta la solicitud al DSHS o solicita directamente al tribunal; aun así, el paciente debe considerar presentar una moción separada para un abogado designado por el tribunal junto con su solicitud o petición. El personal del WSH y el ESH debe tener formularios judiciales disponibles para ayudar a los pacientes considerados NGRI a presentar esta moción junto con la solicitud o petición de libertad condicional o alta final.</w:t>
      </w:r>
    </w:p>
    <w:p w:rsidR="003C1164" w:rsidRDefault="00B92574">
      <w:pPr>
        <w:pStyle w:val="BodyText"/>
        <w:spacing w:before="121" w:line="360" w:lineRule="auto"/>
        <w:ind w:left="120" w:right="446" w:firstLine="720"/>
        <w:jc w:val="both"/>
      </w:pPr>
      <w:r>
        <w:t>Un paciente considerado NGRI probablemente tenía un abogado de defensa penal asignado durante el proceso penal que condujo a su estado de NGRI. Por lo tanto, puede haber confusión sobre si ese abogado de defensa penal original todavía representa al paciente considerado NGRI más tarde cuando el paciente busca la libertad condicional o el alta final. A veces, el abogado de defensa penal original se retira de la representación, pero otras veces continúan siendo asignados durante toda la hospitalización del paciente considerado NGRI. Cuando el paciente considerado NGRI está tomando medidas hacia la libertad condicional o el alta final, es posible que desee averiguar si su abogado de defensa penal original todavía está asignado a su caso.</w:t>
      </w:r>
    </w:p>
    <w:p w:rsidR="003C1164" w:rsidRDefault="00B92574">
      <w:pPr>
        <w:pStyle w:val="BodyText"/>
        <w:spacing w:before="121" w:line="360" w:lineRule="auto"/>
        <w:ind w:left="120" w:right="445" w:firstLine="720"/>
        <w:jc w:val="both"/>
      </w:pPr>
      <w:r>
        <w:t>Para averiguar si el abogado de defensa penal original aún está asignado para representar a un paciente considerado NGRI, llame o escriba directamente a ese abogado, o comuníquese con la oficina del defensor público del condado si existe. Un paciente también puede comunicarse con la oficina de Defensa Pública del estado de Washington en:</w:t>
      </w:r>
    </w:p>
    <w:p w:rsidR="003C1164" w:rsidRPr="004A1401" w:rsidRDefault="00B92574">
      <w:pPr>
        <w:pStyle w:val="BodyText"/>
        <w:spacing w:before="117"/>
        <w:ind w:left="840" w:right="4524"/>
        <w:rPr>
          <w:lang w:val="en-US"/>
        </w:rPr>
      </w:pPr>
      <w:r w:rsidRPr="004A1401">
        <w:rPr>
          <w:lang w:val="en-US"/>
        </w:rPr>
        <w:t>Washington State Office of Public Defense PO Box 40957</w:t>
      </w:r>
    </w:p>
    <w:p w:rsidR="003C1164" w:rsidRDefault="00B92574">
      <w:pPr>
        <w:pStyle w:val="BodyText"/>
        <w:ind w:left="840"/>
      </w:pPr>
      <w:r>
        <w:t>Olympia, WA 98504</w:t>
      </w:r>
    </w:p>
    <w:p w:rsidR="003C1164" w:rsidRDefault="00B92574">
      <w:pPr>
        <w:pStyle w:val="BodyText"/>
        <w:ind w:left="840"/>
      </w:pPr>
      <w:r>
        <w:t>(360) 586-3164 o 1-800-414-6064</w:t>
      </w:r>
    </w:p>
    <w:p w:rsidR="003C1164" w:rsidRDefault="003C1164">
      <w:pPr>
        <w:pStyle w:val="BodyText"/>
        <w:rPr>
          <w:sz w:val="20"/>
        </w:rPr>
      </w:pPr>
    </w:p>
    <w:p w:rsidR="003C1164" w:rsidRDefault="003C1164">
      <w:pPr>
        <w:pStyle w:val="BodyText"/>
        <w:spacing w:before="10"/>
        <w:rPr>
          <w:sz w:val="20"/>
        </w:rPr>
      </w:pPr>
    </w:p>
    <w:p w:rsidR="003C1164" w:rsidRDefault="00B92574">
      <w:pPr>
        <w:pStyle w:val="BodyText"/>
        <w:spacing w:before="1" w:line="360" w:lineRule="auto"/>
        <w:ind w:left="120" w:firstLine="720"/>
      </w:pPr>
      <w:r>
        <w:t>Los equipos de tratamiento de WSH y ESH también pueden ayudar a un paciente a identificar si tiene un abogado asignado y cómo comunicarse con ese abogado.</w:t>
      </w:r>
    </w:p>
    <w:p w:rsidR="003C1164" w:rsidRDefault="00B92574">
      <w:pPr>
        <w:pStyle w:val="Heading1"/>
        <w:numPr>
          <w:ilvl w:val="0"/>
          <w:numId w:val="1"/>
        </w:numPr>
        <w:tabs>
          <w:tab w:val="left" w:pos="1199"/>
          <w:tab w:val="left" w:pos="1200"/>
        </w:tabs>
        <w:spacing w:before="120"/>
      </w:pPr>
      <w:r>
        <w:rPr>
          <w:rFonts w:ascii="Times New Roman"/>
          <w:b w:val="0"/>
          <w:u w:val="thick"/>
        </w:rPr>
        <w:t xml:space="preserve"> </w:t>
      </w:r>
      <w:r>
        <w:rPr>
          <w:u w:val="thick"/>
        </w:rPr>
        <w:t>Qué hacer si no está de acuerdo con su tratamiento</w:t>
      </w:r>
    </w:p>
    <w:p w:rsidR="003C1164" w:rsidRDefault="003C1164">
      <w:pPr>
        <w:pStyle w:val="BodyText"/>
        <w:spacing w:before="6"/>
        <w:rPr>
          <w:b/>
          <w:sz w:val="22"/>
        </w:rPr>
      </w:pPr>
    </w:p>
    <w:p w:rsidR="003C1164" w:rsidRDefault="00B92574" w:rsidP="0037261E">
      <w:pPr>
        <w:pStyle w:val="BodyText"/>
        <w:spacing w:line="360" w:lineRule="auto"/>
        <w:ind w:left="120" w:right="362" w:firstLine="720"/>
      </w:pPr>
      <w:r>
        <w:t>A veces, un paciente considerado NGRI puede tener desacuerdos sobre su tratamiento que no se encuentran dentro del nivel formal y los procesos de planificación del alta descritos en el resto de esta guía.  Además de las estrategias de reclamo establecidas en los «</w:t>
      </w:r>
      <w:r>
        <w:rPr>
          <w:color w:val="0000FF"/>
          <w:u w:val="single" w:color="0000FF"/>
        </w:rPr>
        <w:t>Derechos del paciente en Western State Hospital y Eastern State Hospital</w:t>
      </w:r>
      <w:r>
        <w:t>» de DRW, existen mecanismos de reclamo específicos disponibles para pacientes considerados NGRI. Los pacientes pueden contactar al defensor del pueblo para los pacientes considerados NGRI o escribir al director de Servicios forenses de su hospital.</w:t>
      </w:r>
    </w:p>
    <w:p w:rsidR="003C1164" w:rsidRDefault="00B92574">
      <w:pPr>
        <w:pStyle w:val="Heading1"/>
        <w:numPr>
          <w:ilvl w:val="1"/>
          <w:numId w:val="1"/>
        </w:numPr>
        <w:tabs>
          <w:tab w:val="left" w:pos="1561"/>
        </w:tabs>
        <w:spacing w:before="120"/>
      </w:pPr>
      <w:r>
        <w:t>Defensor del pueblo para los pacientes considerados NGRI</w:t>
      </w:r>
    </w:p>
    <w:p w:rsidR="003C1164" w:rsidRDefault="003C1164">
      <w:pPr>
        <w:pStyle w:val="BodyText"/>
        <w:spacing w:before="4"/>
        <w:rPr>
          <w:b/>
          <w:sz w:val="22"/>
        </w:rPr>
      </w:pPr>
    </w:p>
    <w:p w:rsidR="003C1164" w:rsidRDefault="00B92574">
      <w:pPr>
        <w:pStyle w:val="BodyText"/>
        <w:spacing w:line="360" w:lineRule="auto"/>
        <w:ind w:left="120" w:right="437" w:firstLine="720"/>
        <w:jc w:val="both"/>
      </w:pPr>
      <w:r>
        <w:t xml:space="preserve">El defensor del pueblo para los pacientes considerados NGRI es un funcionario del gobierno designado para recibir e investigar los reclamos hechos por pacientes considerados NGRI internados en el WSH o el ESH. La tarea principal del defensor del pueblo es garantizar y lograr el cumplimiento del DSHS con el acuerdo de </w:t>
      </w:r>
      <w:r>
        <w:rPr>
          <w:i/>
        </w:rPr>
        <w:t>Ross</w:t>
      </w:r>
      <w:r>
        <w:t>. Para ello, el defensor del pueblo está autorizado a realizar actividades de investigación y defensa sobre cuestiones relacionadas con el acuerdo. El defensor del pueblo para los pacientes considerados NGRI se encuentra en WSH, pero está disponible para pacientes considerados NGRI tanto en el WSH como el ESH. Se puede contactar al defensor del pueblo para los pacientes considerados NGRI en:</w:t>
      </w:r>
    </w:p>
    <w:p w:rsidR="003C1164" w:rsidRDefault="00B92574">
      <w:pPr>
        <w:pStyle w:val="BodyText"/>
        <w:spacing w:before="119"/>
        <w:ind w:left="840"/>
        <w:jc w:val="both"/>
      </w:pPr>
      <w:r>
        <w:t>Darrin Hall</w:t>
      </w:r>
    </w:p>
    <w:p w:rsidR="003C1164" w:rsidRDefault="00B92574">
      <w:pPr>
        <w:pStyle w:val="BodyText"/>
        <w:ind w:left="840" w:right="2841"/>
        <w:jc w:val="both"/>
      </w:pPr>
      <w:r>
        <w:t>Defensor del pueblo para los pacientes considerados NGRI - Western y East</w:t>
      </w:r>
      <w:r w:rsidR="00EE3288">
        <w:t>ern State Hospitals (253) 691-52</w:t>
      </w:r>
      <w:bookmarkStart w:id="0" w:name="_GoBack"/>
      <w:bookmarkEnd w:id="0"/>
      <w:r>
        <w:t>93</w:t>
      </w:r>
    </w:p>
    <w:p w:rsidR="003C1164" w:rsidRDefault="00EB6F6D">
      <w:pPr>
        <w:pStyle w:val="BodyText"/>
        <w:ind w:left="840"/>
      </w:pPr>
      <w:hyperlink r:id="rId9">
        <w:r w:rsidR="00B92574">
          <w:rPr>
            <w:color w:val="0000FF"/>
            <w:u w:val="single" w:color="0000FF"/>
          </w:rPr>
          <w:t>HALLDAL@dshs.wa.gov</w:t>
        </w:r>
      </w:hyperlink>
    </w:p>
    <w:p w:rsidR="003C1164" w:rsidRDefault="003C1164">
      <w:pPr>
        <w:pStyle w:val="BodyText"/>
        <w:rPr>
          <w:sz w:val="20"/>
        </w:rPr>
      </w:pPr>
    </w:p>
    <w:p w:rsidR="003C1164" w:rsidRDefault="003C1164">
      <w:pPr>
        <w:pStyle w:val="BodyText"/>
        <w:spacing w:before="1"/>
        <w:rPr>
          <w:sz w:val="17"/>
        </w:rPr>
      </w:pPr>
    </w:p>
    <w:p w:rsidR="003C1164" w:rsidRDefault="00B92574">
      <w:pPr>
        <w:pStyle w:val="Heading1"/>
        <w:numPr>
          <w:ilvl w:val="1"/>
          <w:numId w:val="1"/>
        </w:numPr>
        <w:tabs>
          <w:tab w:val="left" w:pos="1561"/>
        </w:tabs>
        <w:spacing w:before="92"/>
      </w:pPr>
      <w:r>
        <w:t>Directores forenses en ESH y WSH</w:t>
      </w:r>
    </w:p>
    <w:p w:rsidR="003C1164" w:rsidRDefault="003C1164">
      <w:pPr>
        <w:pStyle w:val="BodyText"/>
        <w:spacing w:before="4"/>
        <w:rPr>
          <w:b/>
          <w:sz w:val="22"/>
        </w:rPr>
      </w:pPr>
    </w:p>
    <w:p w:rsidR="003C1164" w:rsidRDefault="00B92574">
      <w:pPr>
        <w:pStyle w:val="BodyText"/>
        <w:spacing w:line="360" w:lineRule="auto"/>
        <w:ind w:left="120" w:right="522"/>
      </w:pPr>
      <w:r>
        <w:t>Un paciente también puede escribir una carta al director forense. Tanto el ESH como el WSH tienen directores que administran los servicios forenses. Se los puede contactar en:</w:t>
      </w:r>
    </w:p>
    <w:p w:rsidR="003C1164" w:rsidRDefault="003C1164">
      <w:pPr>
        <w:spacing w:line="360" w:lineRule="auto"/>
        <w:sectPr w:rsidR="003C1164">
          <w:footerReference w:type="default" r:id="rId10"/>
          <w:pgSz w:w="12240" w:h="15840"/>
          <w:pgMar w:top="1500" w:right="1000" w:bottom="1260" w:left="1320" w:header="0" w:footer="1068" w:gutter="0"/>
          <w:cols w:space="720"/>
        </w:sectPr>
      </w:pPr>
    </w:p>
    <w:p w:rsidR="003C1164" w:rsidRDefault="00B92574">
      <w:pPr>
        <w:pStyle w:val="BodyText"/>
        <w:spacing w:before="118"/>
        <w:ind w:left="480" w:right="20"/>
      </w:pPr>
      <w:r>
        <w:t>Director of Center for Forensic Services</w:t>
      </w:r>
    </w:p>
    <w:p w:rsidR="003C1164" w:rsidRPr="004A1401" w:rsidRDefault="00B92574">
      <w:pPr>
        <w:pStyle w:val="BodyText"/>
        <w:ind w:left="480" w:right="493"/>
        <w:rPr>
          <w:lang w:val="en-US"/>
        </w:rPr>
      </w:pPr>
      <w:r w:rsidRPr="004A1401">
        <w:rPr>
          <w:lang w:val="en-US"/>
        </w:rPr>
        <w:t>Western State Hospital 9601 Steilacoom Blvd SW Lakewood, WA 98498</w:t>
      </w:r>
    </w:p>
    <w:p w:rsidR="003C1164" w:rsidRPr="004A1401" w:rsidRDefault="00B92574">
      <w:pPr>
        <w:pStyle w:val="BodyText"/>
        <w:spacing w:before="118"/>
        <w:ind w:left="480"/>
        <w:rPr>
          <w:lang w:val="en-US"/>
        </w:rPr>
      </w:pPr>
      <w:r w:rsidRPr="004A1401">
        <w:rPr>
          <w:lang w:val="en-US"/>
        </w:rPr>
        <w:br w:type="column"/>
        <w:t>Administrative Director of Forensic Services Unit</w:t>
      </w:r>
    </w:p>
    <w:p w:rsidR="003C1164" w:rsidRPr="004A1401" w:rsidRDefault="00B92574">
      <w:pPr>
        <w:pStyle w:val="BodyText"/>
        <w:ind w:left="480" w:right="1992"/>
        <w:rPr>
          <w:lang w:val="en-US"/>
        </w:rPr>
      </w:pPr>
      <w:r w:rsidRPr="004A1401">
        <w:rPr>
          <w:lang w:val="en-US"/>
        </w:rPr>
        <w:t>Eastern State Hospital PO Box 800</w:t>
      </w:r>
    </w:p>
    <w:p w:rsidR="003C1164" w:rsidRDefault="00B92574">
      <w:pPr>
        <w:pStyle w:val="BodyText"/>
        <w:ind w:left="480"/>
      </w:pPr>
      <w:r>
        <w:t>Medical Lake, WA 99022</w:t>
      </w:r>
    </w:p>
    <w:p w:rsidR="003C1164" w:rsidRDefault="003C1164">
      <w:pPr>
        <w:sectPr w:rsidR="003C1164">
          <w:type w:val="continuous"/>
          <w:pgSz w:w="12240" w:h="15840"/>
          <w:pgMar w:top="1500" w:right="1000" w:bottom="1260" w:left="1320" w:header="720" w:footer="720" w:gutter="0"/>
          <w:cols w:num="2" w:space="720" w:equalWidth="0">
            <w:col w:w="3748" w:space="1292"/>
            <w:col w:w="4880"/>
          </w:cols>
        </w:sectPr>
      </w:pPr>
    </w:p>
    <w:p w:rsidR="003C1164" w:rsidRDefault="003C1164" w:rsidP="004A1401">
      <w:pPr>
        <w:pStyle w:val="BodyText"/>
        <w:rPr>
          <w:sz w:val="20"/>
        </w:rPr>
      </w:pPr>
    </w:p>
    <w:p w:rsidR="003C1164" w:rsidRDefault="003C1164">
      <w:pPr>
        <w:pStyle w:val="BodyText"/>
        <w:rPr>
          <w:sz w:val="20"/>
        </w:rPr>
      </w:pPr>
    </w:p>
    <w:p w:rsidR="003C1164" w:rsidRDefault="003C1164">
      <w:pPr>
        <w:pStyle w:val="BodyText"/>
        <w:rPr>
          <w:sz w:val="20"/>
        </w:rPr>
      </w:pPr>
    </w:p>
    <w:p w:rsidR="003C1164" w:rsidRDefault="003C1164">
      <w:pPr>
        <w:pStyle w:val="BodyText"/>
        <w:spacing w:before="8"/>
        <w:rPr>
          <w:sz w:val="14"/>
        </w:rPr>
      </w:pPr>
    </w:p>
    <w:p w:rsidR="003C1164" w:rsidRDefault="004A1401">
      <w:pPr>
        <w:pStyle w:val="BodyText"/>
        <w:ind w:left="220"/>
        <w:rPr>
          <w:sz w:val="20"/>
        </w:rPr>
      </w:pPr>
      <w:r>
        <w:rPr>
          <w:noProof/>
          <w:lang w:val="en-US"/>
        </w:rPr>
        <w:drawing>
          <wp:anchor distT="0" distB="0" distL="0" distR="0" simplePos="0" relativeHeight="251659776" behindDoc="0" locked="0" layoutInCell="1" allowOverlap="1">
            <wp:simplePos x="0" y="0"/>
            <wp:positionH relativeFrom="page">
              <wp:posOffset>958850</wp:posOffset>
            </wp:positionH>
            <wp:positionV relativeFrom="page">
              <wp:posOffset>1501140</wp:posOffset>
            </wp:positionV>
            <wp:extent cx="5982335" cy="285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982335" cy="28575"/>
                    </a:xfrm>
                    <a:prstGeom prst="rect">
                      <a:avLst/>
                    </a:prstGeom>
                  </pic:spPr>
                </pic:pic>
              </a:graphicData>
            </a:graphic>
          </wp:anchor>
        </w:drawing>
      </w:r>
      <w:r w:rsidR="00EB6F6D">
        <w:rPr>
          <w:noProof/>
          <w:lang w:val="en-US"/>
        </w:rPr>
        <mc:AlternateContent>
          <mc:Choice Requires="wps">
            <w:drawing>
              <wp:anchor distT="0" distB="0" distL="114300" distR="114300" simplePos="0" relativeHeight="251662336" behindDoc="0" locked="0" layoutInCell="1" allowOverlap="1">
                <wp:simplePos x="0" y="0"/>
                <wp:positionH relativeFrom="page">
                  <wp:posOffset>969010</wp:posOffset>
                </wp:positionH>
                <wp:positionV relativeFrom="paragraph">
                  <wp:posOffset>2950210</wp:posOffset>
                </wp:positionV>
                <wp:extent cx="5952490" cy="2730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27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E9C76" id="Rectangle 2" o:spid="_x0000_s1026" style="position:absolute;margin-left:76.3pt;margin-top:232.3pt;width:468.7pt;height:2.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" fillcolor="black" stroked="f">
                <w10:wrap anchorx="page"/>
              </v:rect>
            </w:pict>
          </mc:Fallback>
        </mc:AlternateContent>
      </w:r>
      <w:r w:rsidR="00EB6F6D">
        <w:rPr>
          <w:noProof/>
          <w:sz w:val="20"/>
          <w:lang w:val="en-US"/>
        </w:rPr>
        <mc:AlternateContent>
          <mc:Choice Requires="wps">
            <w:drawing>
              <wp:inline distT="0" distB="0" distL="0" distR="0">
                <wp:extent cx="5943600" cy="2979420"/>
                <wp:effectExtent l="0" t="0" r="3175" b="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7942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164" w:rsidRDefault="003C1164">
                            <w:pPr>
                              <w:pStyle w:val="BodyText"/>
                              <w:spacing w:before="7"/>
                              <w:rPr>
                                <w:sz w:val="41"/>
                              </w:rPr>
                            </w:pPr>
                          </w:p>
                          <w:p w:rsidR="003C1164" w:rsidRDefault="00B92574">
                            <w:pPr>
                              <w:spacing w:line="360" w:lineRule="auto"/>
                              <w:ind w:left="81" w:right="95"/>
                              <w:jc w:val="center"/>
                              <w:rPr>
                                <w:b/>
                                <w:i/>
                                <w:sz w:val="28"/>
                              </w:rPr>
                            </w:pPr>
                            <w:r>
                              <w:rPr>
                                <w:b/>
                                <w:i/>
                                <w:sz w:val="28"/>
                              </w:rPr>
                              <w:t>Este folleto informativo es un servicio de Disability Rights Washington (DRW).</w:t>
                            </w:r>
                          </w:p>
                          <w:p w:rsidR="003C1164" w:rsidRDefault="00B92574">
                            <w:pPr>
                              <w:spacing w:line="362" w:lineRule="auto"/>
                              <w:ind w:left="81" w:right="92"/>
                              <w:jc w:val="center"/>
                              <w:rPr>
                                <w:b/>
                                <w:i/>
                                <w:sz w:val="28"/>
                              </w:rPr>
                            </w:pPr>
                            <w:r>
                              <w:rPr>
                                <w:b/>
                                <w:i/>
                                <w:sz w:val="28"/>
                              </w:rPr>
                              <w:t>Proporciona información general solo como un servicio público, y no es asesoramiento legal.</w:t>
                            </w:r>
                          </w:p>
                          <w:p w:rsidR="003C1164" w:rsidRDefault="00B92574">
                            <w:pPr>
                              <w:spacing w:line="360" w:lineRule="auto"/>
                              <w:ind w:left="1348" w:right="1359"/>
                              <w:jc w:val="center"/>
                              <w:rPr>
                                <w:b/>
                                <w:i/>
                                <w:sz w:val="24"/>
                              </w:rPr>
                            </w:pPr>
                            <w:r>
                              <w:rPr>
                                <w:b/>
                                <w:i/>
                                <w:sz w:val="24"/>
                              </w:rPr>
                              <w:t>Si necesita asesoramiento legal, debe comunicarse con un abogado. No tiene una relación abogado-cliente con DRW.</w:t>
                            </w:r>
                          </w:p>
                          <w:p w:rsidR="003C1164" w:rsidRDefault="00B92574">
                            <w:pPr>
                              <w:spacing w:line="360" w:lineRule="auto"/>
                              <w:ind w:left="81" w:right="92"/>
                              <w:jc w:val="center"/>
                              <w:rPr>
                                <w:b/>
                                <w:i/>
                                <w:sz w:val="28"/>
                              </w:rPr>
                            </w:pPr>
                            <w:r>
                              <w:rPr>
                                <w:b/>
                                <w:i/>
                                <w:sz w:val="28"/>
                              </w:rPr>
                              <w:t>Si desea obtener más información sobre este tema, llame al (800) 562-2702 (voz)</w:t>
                            </w:r>
                          </w:p>
                          <w:p w:rsidR="003C1164" w:rsidRDefault="00B92574">
                            <w:pPr>
                              <w:spacing w:line="321" w:lineRule="exact"/>
                              <w:ind w:left="81" w:right="89"/>
                              <w:jc w:val="center"/>
                              <w:rPr>
                                <w:b/>
                                <w:i/>
                                <w:sz w:val="28"/>
                              </w:rPr>
                            </w:pPr>
                            <w:r>
                              <w:rPr>
                                <w:b/>
                                <w:i/>
                                <w:sz w:val="28"/>
                              </w:rPr>
                              <w:t>o al (800) 905-0209 (TTY).</w:t>
                            </w:r>
                          </w:p>
                        </w:txbxContent>
                      </wps:txbx>
                      <wps:bodyPr rot="0" vert="horz" wrap="square" lIns="0" tIns="0" rIns="0" bIns="0" anchor="t" anchorCtr="0" upright="1">
                        <a:noAutofit/>
                      </wps:bodyPr>
                    </wps:wsp>
                  </a:graphicData>
                </a:graphic>
              </wp:inline>
            </w:drawing>
          </mc:Choice>
          <mc:Fallback>
            <w:pict>
              <v:shape id="Text Box 8" o:spid="_x0000_s1030" type="#_x0000_t202" style="width:468pt;height:2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" fillcolor="#f2f2f2" stroked="f">
                <v:textbox inset="0,0,0,0">
                  <w:txbxContent>
                    <w:p w:rsidR="003C1164" w:rsidRDefault="003C1164">
                      <w:pPr>
                        <w:pStyle w:val="BodyText"/>
                        <w:spacing w:before="7"/>
                        <w:rPr>
                          <w:sz w:val="41"/>
                        </w:rPr>
                      </w:pPr>
                    </w:p>
                    <w:p w:rsidR="003C1164" w:rsidRDefault="00B92574">
                      <w:pPr>
                        <w:spacing w:line="360" w:lineRule="auto"/>
                        <w:ind w:left="81" w:right="95"/>
                        <w:jc w:val="center"/>
                        <w:rPr>
                          <w:b/>
                          <w:i/>
                          <w:sz w:val="28"/>
                        </w:rPr>
                      </w:pPr>
                      <w:r>
                        <w:rPr>
                          <w:b/>
                          <w:i/>
                          <w:sz w:val="28"/>
                        </w:rPr>
                        <w:t>Este folleto informativo es un servicio de Disability Rights Washington (DRW).</w:t>
                      </w:r>
                    </w:p>
                    <w:p w:rsidR="003C1164" w:rsidRDefault="00B92574">
                      <w:pPr>
                        <w:spacing w:line="362" w:lineRule="auto"/>
                        <w:ind w:left="81" w:right="92"/>
                        <w:jc w:val="center"/>
                        <w:rPr>
                          <w:b/>
                          <w:i/>
                          <w:sz w:val="28"/>
                        </w:rPr>
                      </w:pPr>
                      <w:r>
                        <w:rPr>
                          <w:b/>
                          <w:i/>
                          <w:sz w:val="28"/>
                        </w:rPr>
                        <w:t>Proporciona información general solo como un servicio público, y no es asesoramiento legal.</w:t>
                      </w:r>
                    </w:p>
                    <w:p w:rsidR="003C1164" w:rsidRDefault="00B92574">
                      <w:pPr>
                        <w:spacing w:line="360" w:lineRule="auto"/>
                        <w:ind w:left="1348" w:right="1359"/>
                        <w:jc w:val="center"/>
                        <w:rPr>
                          <w:b/>
                          <w:i/>
                          <w:sz w:val="24"/>
                        </w:rPr>
                      </w:pPr>
                      <w:r>
                        <w:rPr>
                          <w:b/>
                          <w:i/>
                          <w:sz w:val="24"/>
                        </w:rPr>
                        <w:t>Si necesita asesoramiento legal, debe comunicarse con un abogado. No tiene una relación abogado-cliente con DRW.</w:t>
                      </w:r>
                    </w:p>
                    <w:p w:rsidR="003C1164" w:rsidRDefault="00B92574">
                      <w:pPr>
                        <w:spacing w:line="360" w:lineRule="auto"/>
                        <w:ind w:left="81" w:right="92"/>
                        <w:jc w:val="center"/>
                        <w:rPr>
                          <w:b/>
                          <w:i/>
                          <w:sz w:val="28"/>
                        </w:rPr>
                      </w:pPr>
                      <w:r>
                        <w:rPr>
                          <w:b/>
                          <w:i/>
                          <w:sz w:val="28"/>
                        </w:rPr>
                        <w:t>Si desea obtener más información sobre este tema, llame al (800) 562-2702 (voz)</w:t>
                      </w:r>
                    </w:p>
                    <w:p w:rsidR="003C1164" w:rsidRDefault="00B92574">
                      <w:pPr>
                        <w:spacing w:line="321" w:lineRule="exact"/>
                        <w:ind w:left="81" w:right="89"/>
                        <w:jc w:val="center"/>
                        <w:rPr>
                          <w:b/>
                          <w:i/>
                          <w:sz w:val="28"/>
                        </w:rPr>
                      </w:pPr>
                      <w:r>
                        <w:rPr>
                          <w:b/>
                          <w:i/>
                          <w:sz w:val="28"/>
                        </w:rPr>
                        <w:t>o al (800) 905-0209 (TTY).</w:t>
                      </w:r>
                    </w:p>
                  </w:txbxContent>
                </v:textbox>
                <w10:anchorlock/>
              </v:shape>
            </w:pict>
          </mc:Fallback>
        </mc:AlternateContent>
      </w:r>
    </w:p>
    <w:p w:rsidR="003C1164" w:rsidRDefault="003C1164">
      <w:pPr>
        <w:pStyle w:val="BodyText"/>
        <w:spacing w:before="9"/>
        <w:rPr>
          <w:sz w:val="17"/>
        </w:rPr>
      </w:pPr>
    </w:p>
    <w:p w:rsidR="003C1164" w:rsidRDefault="00B92574">
      <w:pPr>
        <w:pStyle w:val="BodyText"/>
        <w:spacing w:before="92"/>
        <w:ind w:left="120" w:right="522"/>
      </w:pPr>
      <w:r>
        <w:t>Siempre abogue de manera oportuna. Tenga en cuenta que existen ciertos límites de tiempo o plazos para presentar un reclamo o una demanda, o tomar medidas legales.</w:t>
      </w:r>
    </w:p>
    <w:p w:rsidR="003C1164" w:rsidRDefault="003C1164">
      <w:pPr>
        <w:pStyle w:val="BodyText"/>
      </w:pPr>
    </w:p>
    <w:p w:rsidR="003C1164" w:rsidRDefault="00B92574">
      <w:pPr>
        <w:pStyle w:val="BodyText"/>
        <w:ind w:left="120"/>
      </w:pPr>
      <w:r>
        <w:t>Para recibir este folleto informativo en un formato alternativo, como letra grande o Braille, llame gratis a Disability Rights Washington (DRW) al 1-800-562-2702.</w:t>
      </w:r>
    </w:p>
    <w:p w:rsidR="003C1164" w:rsidRDefault="003C1164">
      <w:pPr>
        <w:pStyle w:val="BodyText"/>
      </w:pPr>
    </w:p>
    <w:p w:rsidR="003C1164" w:rsidRDefault="00B92574">
      <w:pPr>
        <w:pStyle w:val="BodyText"/>
        <w:ind w:left="120" w:right="1484"/>
        <w:jc w:val="both"/>
      </w:pPr>
      <w:r>
        <w:t>El autor, Disability Rights Washington, otorga el permiso para reimprimir esta publicación, siempre que la publicación se distribuya de forma gratuita y con atribución.</w:t>
      </w:r>
    </w:p>
    <w:p w:rsidR="003C1164" w:rsidRDefault="003C1164">
      <w:pPr>
        <w:pStyle w:val="BodyText"/>
      </w:pPr>
    </w:p>
    <w:p w:rsidR="003C1164" w:rsidRPr="004A1401" w:rsidRDefault="00B92574">
      <w:pPr>
        <w:pStyle w:val="BodyText"/>
        <w:ind w:left="3151" w:right="3093" w:firstLine="307"/>
        <w:rPr>
          <w:lang w:val="en-US"/>
        </w:rPr>
      </w:pPr>
      <w:r w:rsidRPr="004A1401">
        <w:rPr>
          <w:lang w:val="en-US"/>
        </w:rPr>
        <w:t>Disability Rights Washington 315 Fifth Avenue South, Suite 850</w:t>
      </w:r>
    </w:p>
    <w:p w:rsidR="003C1164" w:rsidRDefault="00B92574">
      <w:pPr>
        <w:pStyle w:val="BodyText"/>
        <w:ind w:left="141" w:right="102"/>
        <w:jc w:val="center"/>
      </w:pPr>
      <w:r>
        <w:t>Seattle, WA 98104</w:t>
      </w:r>
    </w:p>
    <w:p w:rsidR="003C1164" w:rsidRDefault="00B92574">
      <w:pPr>
        <w:pStyle w:val="BodyText"/>
        <w:ind w:left="141" w:right="106"/>
        <w:jc w:val="center"/>
      </w:pPr>
      <w:r>
        <w:t>Teléfono: 206-324-1521 u 800-562-2702</w:t>
      </w:r>
    </w:p>
    <w:p w:rsidR="003C1164" w:rsidRDefault="00B92574">
      <w:pPr>
        <w:pStyle w:val="BodyText"/>
        <w:ind w:left="141" w:right="103"/>
        <w:jc w:val="center"/>
      </w:pPr>
      <w:r>
        <w:t>Fax: 206-957-0729</w:t>
      </w:r>
    </w:p>
    <w:p w:rsidR="003C1164" w:rsidRDefault="00B92574">
      <w:pPr>
        <w:pStyle w:val="BodyText"/>
        <w:ind w:left="3259" w:right="3200" w:firstLine="530"/>
      </w:pPr>
      <w:r>
        <w:t xml:space="preserve">Correo electrónico: </w:t>
      </w:r>
      <w:hyperlink r:id="rId12">
        <w:r>
          <w:t>info@dr-wa.org</w:t>
        </w:r>
      </w:hyperlink>
      <w:r>
        <w:t xml:space="preserve"> Sitio web: DisabilityRightsWA.org</w:t>
      </w:r>
    </w:p>
    <w:p w:rsidR="003C1164" w:rsidRDefault="00B92574">
      <w:pPr>
        <w:spacing w:line="274" w:lineRule="exact"/>
        <w:ind w:left="3844"/>
        <w:rPr>
          <w:i/>
          <w:sz w:val="24"/>
        </w:rPr>
      </w:pPr>
      <w:r>
        <w:rPr>
          <w:i/>
          <w:sz w:val="24"/>
        </w:rPr>
        <w:t>Intérpretes disponibles</w:t>
      </w:r>
    </w:p>
    <w:p w:rsidR="003C1164" w:rsidRDefault="003C1164">
      <w:pPr>
        <w:pStyle w:val="BodyText"/>
        <w:spacing w:before="3"/>
        <w:rPr>
          <w:i/>
        </w:rPr>
      </w:pPr>
    </w:p>
    <w:p w:rsidR="003C1164" w:rsidRDefault="00B92574">
      <w:pPr>
        <w:pStyle w:val="BodyText"/>
        <w:ind w:left="141" w:right="468"/>
        <w:jc w:val="center"/>
      </w:pPr>
      <w:r>
        <w:t>DRW se conocía anteriormente como Sistema de Protección y Defensa de Washington.</w:t>
      </w:r>
    </w:p>
    <w:p w:rsidR="003C1164" w:rsidRDefault="00B92574">
      <w:pPr>
        <w:pStyle w:val="BodyText"/>
        <w:ind w:left="141" w:right="471"/>
        <w:jc w:val="center"/>
      </w:pPr>
      <w:r>
        <w:t>DRW es miembro de la Red Nacional de Derechos de los Discapacitados. Una parte sustancial del presupuesto de DRW está financiada por el gobierno federal.</w:t>
      </w:r>
    </w:p>
    <w:p w:rsidR="003C1164" w:rsidRDefault="003C1164">
      <w:pPr>
        <w:pStyle w:val="BodyText"/>
      </w:pPr>
    </w:p>
    <w:p w:rsidR="003C1164" w:rsidRDefault="00B92574">
      <w:pPr>
        <w:pStyle w:val="BodyText"/>
        <w:ind w:left="141" w:right="465"/>
        <w:jc w:val="center"/>
      </w:pPr>
      <w:r>
        <w:t>Esta información está actualizada a marzo de 2020.</w:t>
      </w:r>
    </w:p>
    <w:sectPr w:rsidR="003C1164">
      <w:pgSz w:w="12240" w:h="15840"/>
      <w:pgMar w:top="1500" w:right="1000" w:bottom="1260" w:left="1320" w:header="0" w:footer="10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A42" w:rsidRDefault="00954A42">
      <w:r>
        <w:separator/>
      </w:r>
    </w:p>
  </w:endnote>
  <w:endnote w:type="continuationSeparator" w:id="0">
    <w:p w:rsidR="00954A42" w:rsidRDefault="0095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164" w:rsidRDefault="00EB6F6D">
    <w:pPr>
      <w:pStyle w:val="BodyText"/>
      <w:spacing w:line="14" w:lineRule="auto"/>
      <w:rPr>
        <w:sz w:val="20"/>
      </w:rPr>
    </w:pPr>
    <w:r>
      <w:rPr>
        <w:noProof/>
        <w:lang w:val="en-US"/>
      </w:rPr>
      <mc:AlternateContent>
        <mc:Choice Requires="wps">
          <w:drawing>
            <wp:anchor distT="0" distB="0" distL="114300" distR="114300" simplePos="0" relativeHeight="251308032" behindDoc="1" locked="0" layoutInCell="1" allowOverlap="1">
              <wp:simplePos x="0" y="0"/>
              <wp:positionH relativeFrom="page">
                <wp:posOffset>3805555</wp:posOffset>
              </wp:positionH>
              <wp:positionV relativeFrom="page">
                <wp:posOffset>9240520</wp:posOffset>
              </wp:positionV>
              <wp:extent cx="161290" cy="19558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164" w:rsidRDefault="00B92574">
                          <w:pPr>
                            <w:pStyle w:val="BodyText"/>
                            <w:spacing w:before="11"/>
                            <w:ind w:left="60"/>
                          </w:pPr>
                          <w:r>
                            <w:fldChar w:fldCharType="begin"/>
                          </w:r>
                          <w:r>
                            <w:instrText xml:space="preserve"> PAGE </w:instrText>
                          </w:r>
                          <w:r>
                            <w:fldChar w:fldCharType="separate"/>
                          </w:r>
                          <w:r w:rsidR="00EB6F6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299.65pt;margin-top:727.6pt;width:12.7pt;height:15.4pt;z-index:-25200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grQIAAKg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" filled="f" stroked="f">
              <v:textbox inset="0,0,0,0">
                <w:txbxContent>
                  <w:p w:rsidR="003C1164" w:rsidRDefault="00B92574">
                    <w:pPr>
                      <w:pStyle w:val="BodyText"/>
                      <w:spacing w:before="11"/>
                      <w:ind w:left="60"/>
                    </w:pPr>
                    <w:r>
                      <w:fldChar w:fldCharType="begin"/>
                    </w:r>
                    <w:r>
                      <w:instrText xml:space="preserve"> PAGE </w:instrText>
                    </w:r>
                    <w:r>
                      <w:fldChar w:fldCharType="separate"/>
                    </w:r>
                    <w:r w:rsidR="00EB6F6D">
                      <w:rPr>
                        <w:noProof/>
                      </w:rPr>
                      <w:t>3</w:t>
                    </w:r>
                    <w: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251309056" behindDoc="1" locked="0" layoutInCell="1" allowOverlap="1">
              <wp:simplePos x="0" y="0"/>
              <wp:positionH relativeFrom="page">
                <wp:posOffset>901700</wp:posOffset>
              </wp:positionH>
              <wp:positionV relativeFrom="page">
                <wp:posOffset>9415145</wp:posOffset>
              </wp:positionV>
              <wp:extent cx="2763520" cy="19431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164" w:rsidRDefault="00B92574">
                          <w:pPr>
                            <w:spacing w:before="9"/>
                            <w:ind w:left="20"/>
                            <w:rPr>
                              <w:rFonts w:ascii="Times New Roman"/>
                              <w:i/>
                              <w:sz w:val="24"/>
                            </w:rPr>
                          </w:pPr>
                          <w:r>
                            <w:rPr>
                              <w:rFonts w:ascii="Times New Roman"/>
                              <w:i/>
                              <w:sz w:val="24"/>
                            </w:rPr>
                            <w:t>Una gu</w:t>
                          </w:r>
                          <w:r>
                            <w:rPr>
                              <w:rFonts w:ascii="Times New Roman"/>
                              <w:i/>
                              <w:sz w:val="24"/>
                            </w:rPr>
                            <w:t>í</w:t>
                          </w:r>
                          <w:r>
                            <w:rPr>
                              <w:rFonts w:ascii="Times New Roman"/>
                              <w:i/>
                              <w:sz w:val="24"/>
                            </w:rPr>
                            <w:t>a para pacientes NGRI en WSH y ESH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71pt;margin-top:741.35pt;width:217.6pt;height:15.3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Gisg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gjTlpo0QMdNLoVA5qb6vSdSsDpvgM3PcA2dNlmqro7UXxXiItNTfierqUUfU1JCex8c9N9dnXE&#10;UQZk138SJYQhBy0s0FDJ1pQOioEAHbr0eO6MoVLAZrCIZvMAjgo48+Nw5tv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" filled="f" stroked="f">
              <v:textbox inset="0,0,0,0">
                <w:txbxContent>
                  <w:p w:rsidR="003C1164" w:rsidRDefault="00B92574">
                    <w:pPr>
                      <w:spacing w:before="9"/>
                      <w:ind w:left="20"/>
                      <w:rPr>
                        <w:rFonts w:ascii="Times New Roman"/>
                        <w:i/>
                        <w:sz w:val="24"/>
                      </w:rPr>
                    </w:pPr>
                    <w:r>
                      <w:rPr>
                        <w:rFonts w:ascii="Times New Roman"/>
                        <w:i/>
                        <w:sz w:val="24"/>
                      </w:rPr>
                      <w:t>Una gu</w:t>
                    </w:r>
                    <w:r>
                      <w:rPr>
                        <w:rFonts w:ascii="Times New Roman"/>
                        <w:i/>
                        <w:sz w:val="24"/>
                      </w:rPr>
                      <w:t>í</w:t>
                    </w:r>
                    <w:r>
                      <w:rPr>
                        <w:rFonts w:ascii="Times New Roman"/>
                        <w:i/>
                        <w:sz w:val="24"/>
                      </w:rPr>
                      <w:t>a para pacientes NGRI en WSH y ESH</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164" w:rsidRDefault="00EB6F6D">
    <w:pPr>
      <w:pStyle w:val="BodyText"/>
      <w:spacing w:line="14" w:lineRule="auto"/>
      <w:rPr>
        <w:sz w:val="20"/>
      </w:rPr>
    </w:pPr>
    <w:r>
      <w:rPr>
        <w:noProof/>
        <w:lang w:val="en-US"/>
      </w:rPr>
      <mc:AlternateContent>
        <mc:Choice Requires="wps">
          <w:drawing>
            <wp:anchor distT="0" distB="0" distL="114300" distR="114300" simplePos="0" relativeHeight="251310080" behindDoc="1" locked="0" layoutInCell="1" allowOverlap="1">
              <wp:simplePos x="0" y="0"/>
              <wp:positionH relativeFrom="page">
                <wp:posOffset>3788410</wp:posOffset>
              </wp:positionH>
              <wp:positionV relativeFrom="page">
                <wp:posOffset>9240520</wp:posOffset>
              </wp:positionV>
              <wp:extent cx="194945" cy="1955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164" w:rsidRDefault="00B92574">
                          <w:pPr>
                            <w:pStyle w:val="BodyText"/>
                            <w:spacing w:before="11"/>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margin-left:298.3pt;margin-top:727.6pt;width:15.35pt;height:15.4pt;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" filled="f" stroked="f">
              <v:textbox inset="0,0,0,0">
                <w:txbxContent>
                  <w:p w:rsidR="003C1164" w:rsidRDefault="00B92574">
                    <w:pPr>
                      <w:pStyle w:val="BodyText"/>
                      <w:spacing w:before="11"/>
                      <w:ind w:left="20"/>
                    </w:pPr>
                    <w:r>
                      <w:t>10</w:t>
                    </w:r>
                  </w:p>
                </w:txbxContent>
              </v:textbox>
              <w10:wrap anchorx="page" anchory="page"/>
            </v:shape>
          </w:pict>
        </mc:Fallback>
      </mc:AlternateContent>
    </w:r>
    <w:r>
      <w:rPr>
        <w:noProof/>
        <w:lang w:val="en-US"/>
      </w:rPr>
      <mc:AlternateContent>
        <mc:Choice Requires="wps">
          <w:drawing>
            <wp:anchor distT="0" distB="0" distL="114300" distR="114300" simplePos="0" relativeHeight="251311104" behindDoc="1" locked="0" layoutInCell="1" allowOverlap="1">
              <wp:simplePos x="0" y="0"/>
              <wp:positionH relativeFrom="page">
                <wp:posOffset>901700</wp:posOffset>
              </wp:positionH>
              <wp:positionV relativeFrom="page">
                <wp:posOffset>9415145</wp:posOffset>
              </wp:positionV>
              <wp:extent cx="2763520"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164" w:rsidRDefault="00B92574">
                          <w:pPr>
                            <w:spacing w:before="9"/>
                            <w:ind w:left="20"/>
                            <w:rPr>
                              <w:rFonts w:ascii="Times New Roman"/>
                              <w:i/>
                              <w:sz w:val="24"/>
                            </w:rPr>
                          </w:pPr>
                          <w:r>
                            <w:rPr>
                              <w:rFonts w:ascii="Times New Roman"/>
                              <w:i/>
                              <w:sz w:val="24"/>
                            </w:rPr>
                            <w:t>Una gu</w:t>
                          </w:r>
                          <w:r>
                            <w:rPr>
                              <w:rFonts w:ascii="Times New Roman"/>
                              <w:i/>
                              <w:sz w:val="24"/>
                            </w:rPr>
                            <w:t>í</w:t>
                          </w:r>
                          <w:r>
                            <w:rPr>
                              <w:rFonts w:ascii="Times New Roman"/>
                              <w:i/>
                              <w:sz w:val="24"/>
                            </w:rPr>
                            <w:t>a para pacientes NGRI en WSH y ESH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71pt;margin-top:741.35pt;width:217.6pt;height:15.3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" filled="f" stroked="f">
              <v:textbox inset="0,0,0,0">
                <w:txbxContent>
                  <w:p w:rsidR="003C1164" w:rsidRDefault="00B92574">
                    <w:pPr>
                      <w:spacing w:before="9"/>
                      <w:ind w:left="20"/>
                      <w:rPr>
                        <w:rFonts w:ascii="Times New Roman"/>
                        <w:i/>
                        <w:sz w:val="24"/>
                      </w:rPr>
                    </w:pPr>
                    <w:r>
                      <w:rPr>
                        <w:rFonts w:ascii="Times New Roman"/>
                        <w:i/>
                        <w:sz w:val="24"/>
                      </w:rPr>
                      <w:t>Una gu</w:t>
                    </w:r>
                    <w:r>
                      <w:rPr>
                        <w:rFonts w:ascii="Times New Roman"/>
                        <w:i/>
                        <w:sz w:val="24"/>
                      </w:rPr>
                      <w:t>í</w:t>
                    </w:r>
                    <w:r>
                      <w:rPr>
                        <w:rFonts w:ascii="Times New Roman"/>
                        <w:i/>
                        <w:sz w:val="24"/>
                      </w:rPr>
                      <w:t>a para pacientes NGRI en WSH y ESH</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164" w:rsidRDefault="00EB6F6D">
    <w:pPr>
      <w:pStyle w:val="BodyText"/>
      <w:spacing w:line="14" w:lineRule="auto"/>
      <w:rPr>
        <w:sz w:val="20"/>
      </w:rPr>
    </w:pPr>
    <w:r>
      <w:rPr>
        <w:noProof/>
        <w:lang w:val="en-US"/>
      </w:rPr>
      <mc:AlternateContent>
        <mc:Choice Requires="wps">
          <w:drawing>
            <wp:anchor distT="0" distB="0" distL="114300" distR="114300" simplePos="0" relativeHeight="251312128" behindDoc="1" locked="0" layoutInCell="1" allowOverlap="1">
              <wp:simplePos x="0" y="0"/>
              <wp:positionH relativeFrom="page">
                <wp:posOffset>3788410</wp:posOffset>
              </wp:positionH>
              <wp:positionV relativeFrom="page">
                <wp:posOffset>9240520</wp:posOffset>
              </wp:positionV>
              <wp:extent cx="220345" cy="1955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164" w:rsidRDefault="00B92574">
                          <w:pPr>
                            <w:pStyle w:val="BodyText"/>
                            <w:spacing w:before="11"/>
                            <w:ind w:left="20"/>
                          </w:pPr>
                          <w:r>
                            <w:t>1</w:t>
                          </w:r>
                          <w:r>
                            <w:fldChar w:fldCharType="begin"/>
                          </w:r>
                          <w:r>
                            <w:instrText xml:space="preserve"> PAGE </w:instrText>
                          </w:r>
                          <w:r>
                            <w:fldChar w:fldCharType="separate"/>
                          </w:r>
                          <w:r w:rsidR="00EB6F6D">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298.3pt;margin-top:727.6pt;width:17.35pt;height:15.4pt;z-index:-25200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QXUswIAAK8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" filled="f" stroked="f">
              <v:textbox inset="0,0,0,0">
                <w:txbxContent>
                  <w:p w:rsidR="003C1164" w:rsidRDefault="00B92574">
                    <w:pPr>
                      <w:pStyle w:val="BodyText"/>
                      <w:spacing w:before="11"/>
                      <w:ind w:left="20"/>
                    </w:pPr>
                    <w:r>
                      <w:t>1</w:t>
                    </w:r>
                    <w:r>
                      <w:fldChar w:fldCharType="begin"/>
                    </w:r>
                    <w:r>
                      <w:instrText xml:space="preserve"> PAGE </w:instrText>
                    </w:r>
                    <w:r>
                      <w:fldChar w:fldCharType="separate"/>
                    </w:r>
                    <w:r w:rsidR="00EB6F6D">
                      <w:rPr>
                        <w:noProof/>
                      </w:rPr>
                      <w:t>17</w:t>
                    </w:r>
                    <w: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251313152" behindDoc="1" locked="0" layoutInCell="1" allowOverlap="1">
              <wp:simplePos x="0" y="0"/>
              <wp:positionH relativeFrom="page">
                <wp:posOffset>901700</wp:posOffset>
              </wp:positionH>
              <wp:positionV relativeFrom="page">
                <wp:posOffset>9415145</wp:posOffset>
              </wp:positionV>
              <wp:extent cx="276352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164" w:rsidRDefault="00B92574">
                          <w:pPr>
                            <w:spacing w:before="9"/>
                            <w:ind w:left="20"/>
                            <w:rPr>
                              <w:rFonts w:ascii="Times New Roman"/>
                              <w:i/>
                              <w:sz w:val="24"/>
                            </w:rPr>
                          </w:pPr>
                          <w:r>
                            <w:rPr>
                              <w:rFonts w:ascii="Times New Roman"/>
                              <w:i/>
                              <w:sz w:val="24"/>
                            </w:rPr>
                            <w:t>Una gu</w:t>
                          </w:r>
                          <w:r>
                            <w:rPr>
                              <w:rFonts w:ascii="Times New Roman"/>
                              <w:i/>
                              <w:sz w:val="24"/>
                            </w:rPr>
                            <w:t>í</w:t>
                          </w:r>
                          <w:r>
                            <w:rPr>
                              <w:rFonts w:ascii="Times New Roman"/>
                              <w:i/>
                              <w:sz w:val="24"/>
                            </w:rPr>
                            <w:t>a para pacientes NGRI en WSH y ESH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6" type="#_x0000_t202" style="position:absolute;margin-left:71pt;margin-top:741.35pt;width:217.6pt;height:15.3pt;z-index:-25200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YnsgIAALA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" filled="f" stroked="f">
              <v:textbox inset="0,0,0,0">
                <w:txbxContent>
                  <w:p w:rsidR="003C1164" w:rsidRDefault="00B92574">
                    <w:pPr>
                      <w:spacing w:before="9"/>
                      <w:ind w:left="20"/>
                      <w:rPr>
                        <w:rFonts w:ascii="Times New Roman"/>
                        <w:i/>
                        <w:sz w:val="24"/>
                      </w:rPr>
                    </w:pPr>
                    <w:r>
                      <w:rPr>
                        <w:rFonts w:ascii="Times New Roman"/>
                        <w:i/>
                        <w:sz w:val="24"/>
                      </w:rPr>
                      <w:t>Una gu</w:t>
                    </w:r>
                    <w:r>
                      <w:rPr>
                        <w:rFonts w:ascii="Times New Roman"/>
                        <w:i/>
                        <w:sz w:val="24"/>
                      </w:rPr>
                      <w:t>í</w:t>
                    </w:r>
                    <w:r>
                      <w:rPr>
                        <w:rFonts w:ascii="Times New Roman"/>
                        <w:i/>
                        <w:sz w:val="24"/>
                      </w:rPr>
                      <w:t>a para pacientes NGRI en WSH y ESH</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A42" w:rsidRDefault="00954A42">
      <w:r>
        <w:separator/>
      </w:r>
    </w:p>
  </w:footnote>
  <w:footnote w:type="continuationSeparator" w:id="0">
    <w:p w:rsidR="00954A42" w:rsidRDefault="00954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3C09"/>
    <w:multiLevelType w:val="hybridMultilevel"/>
    <w:tmpl w:val="B5C0FB26"/>
    <w:lvl w:ilvl="0" w:tplc="785A8AC8">
      <w:start w:val="1"/>
      <w:numFmt w:val="decimal"/>
      <w:lvlText w:val="%1."/>
      <w:lvlJc w:val="left"/>
      <w:pPr>
        <w:ind w:left="1173" w:hanging="694"/>
        <w:jc w:val="left"/>
      </w:pPr>
      <w:rPr>
        <w:rFonts w:ascii="Arial" w:eastAsia="Arial" w:hAnsi="Arial" w:cs="Arial" w:hint="default"/>
        <w:w w:val="99"/>
        <w:sz w:val="24"/>
        <w:szCs w:val="24"/>
      </w:rPr>
    </w:lvl>
    <w:lvl w:ilvl="1" w:tplc="9A5C427E">
      <w:start w:val="1"/>
      <w:numFmt w:val="lowerLetter"/>
      <w:lvlText w:val="%2."/>
      <w:lvlJc w:val="left"/>
      <w:pPr>
        <w:ind w:left="1560" w:hanging="361"/>
        <w:jc w:val="left"/>
      </w:pPr>
      <w:rPr>
        <w:rFonts w:ascii="Arial" w:eastAsia="Arial" w:hAnsi="Arial" w:cs="Arial" w:hint="default"/>
        <w:w w:val="99"/>
        <w:sz w:val="24"/>
        <w:szCs w:val="24"/>
      </w:rPr>
    </w:lvl>
    <w:lvl w:ilvl="2" w:tplc="505C486C">
      <w:numFmt w:val="bullet"/>
      <w:lvlText w:val="•"/>
      <w:lvlJc w:val="left"/>
      <w:pPr>
        <w:ind w:left="2488" w:hanging="361"/>
      </w:pPr>
      <w:rPr>
        <w:rFonts w:hint="default"/>
      </w:rPr>
    </w:lvl>
    <w:lvl w:ilvl="3" w:tplc="E92E3C4E">
      <w:numFmt w:val="bullet"/>
      <w:lvlText w:val="•"/>
      <w:lvlJc w:val="left"/>
      <w:pPr>
        <w:ind w:left="3417" w:hanging="361"/>
      </w:pPr>
      <w:rPr>
        <w:rFonts w:hint="default"/>
      </w:rPr>
    </w:lvl>
    <w:lvl w:ilvl="4" w:tplc="099E3548">
      <w:numFmt w:val="bullet"/>
      <w:lvlText w:val="•"/>
      <w:lvlJc w:val="left"/>
      <w:pPr>
        <w:ind w:left="4346" w:hanging="361"/>
      </w:pPr>
      <w:rPr>
        <w:rFonts w:hint="default"/>
      </w:rPr>
    </w:lvl>
    <w:lvl w:ilvl="5" w:tplc="7676147E">
      <w:numFmt w:val="bullet"/>
      <w:lvlText w:val="•"/>
      <w:lvlJc w:val="left"/>
      <w:pPr>
        <w:ind w:left="5275" w:hanging="361"/>
      </w:pPr>
      <w:rPr>
        <w:rFonts w:hint="default"/>
      </w:rPr>
    </w:lvl>
    <w:lvl w:ilvl="6" w:tplc="6F1E31B8">
      <w:numFmt w:val="bullet"/>
      <w:lvlText w:val="•"/>
      <w:lvlJc w:val="left"/>
      <w:pPr>
        <w:ind w:left="6204" w:hanging="361"/>
      </w:pPr>
      <w:rPr>
        <w:rFonts w:hint="default"/>
      </w:rPr>
    </w:lvl>
    <w:lvl w:ilvl="7" w:tplc="D326F252">
      <w:numFmt w:val="bullet"/>
      <w:lvlText w:val="•"/>
      <w:lvlJc w:val="left"/>
      <w:pPr>
        <w:ind w:left="7133" w:hanging="361"/>
      </w:pPr>
      <w:rPr>
        <w:rFonts w:hint="default"/>
      </w:rPr>
    </w:lvl>
    <w:lvl w:ilvl="8" w:tplc="FDE02CA2">
      <w:numFmt w:val="bullet"/>
      <w:lvlText w:val="•"/>
      <w:lvlJc w:val="left"/>
      <w:pPr>
        <w:ind w:left="8062" w:hanging="361"/>
      </w:pPr>
      <w:rPr>
        <w:rFonts w:hint="default"/>
      </w:rPr>
    </w:lvl>
  </w:abstractNum>
  <w:abstractNum w:abstractNumId="1" w15:restartNumberingAfterBreak="0">
    <w:nsid w:val="33B2011C"/>
    <w:multiLevelType w:val="hybridMultilevel"/>
    <w:tmpl w:val="8F66CFD2"/>
    <w:lvl w:ilvl="0" w:tplc="692EAAD6">
      <w:start w:val="1"/>
      <w:numFmt w:val="decimal"/>
      <w:lvlText w:val="%1."/>
      <w:lvlJc w:val="left"/>
      <w:pPr>
        <w:ind w:left="1200" w:hanging="721"/>
        <w:jc w:val="left"/>
      </w:pPr>
      <w:rPr>
        <w:rFonts w:ascii="Arial" w:eastAsia="Arial" w:hAnsi="Arial" w:cs="Arial" w:hint="default"/>
        <w:w w:val="99"/>
        <w:sz w:val="24"/>
        <w:szCs w:val="24"/>
      </w:rPr>
    </w:lvl>
    <w:lvl w:ilvl="1" w:tplc="513E11D2">
      <w:numFmt w:val="bullet"/>
      <w:lvlText w:val="•"/>
      <w:lvlJc w:val="left"/>
      <w:pPr>
        <w:ind w:left="2072" w:hanging="721"/>
      </w:pPr>
      <w:rPr>
        <w:rFonts w:hint="default"/>
      </w:rPr>
    </w:lvl>
    <w:lvl w:ilvl="2" w:tplc="228845FC">
      <w:numFmt w:val="bullet"/>
      <w:lvlText w:val="•"/>
      <w:lvlJc w:val="left"/>
      <w:pPr>
        <w:ind w:left="2944" w:hanging="721"/>
      </w:pPr>
      <w:rPr>
        <w:rFonts w:hint="default"/>
      </w:rPr>
    </w:lvl>
    <w:lvl w:ilvl="3" w:tplc="34C60776">
      <w:numFmt w:val="bullet"/>
      <w:lvlText w:val="•"/>
      <w:lvlJc w:val="left"/>
      <w:pPr>
        <w:ind w:left="3816" w:hanging="721"/>
      </w:pPr>
      <w:rPr>
        <w:rFonts w:hint="default"/>
      </w:rPr>
    </w:lvl>
    <w:lvl w:ilvl="4" w:tplc="75A84F76">
      <w:numFmt w:val="bullet"/>
      <w:lvlText w:val="•"/>
      <w:lvlJc w:val="left"/>
      <w:pPr>
        <w:ind w:left="4688" w:hanging="721"/>
      </w:pPr>
      <w:rPr>
        <w:rFonts w:hint="default"/>
      </w:rPr>
    </w:lvl>
    <w:lvl w:ilvl="5" w:tplc="DED64798">
      <w:numFmt w:val="bullet"/>
      <w:lvlText w:val="•"/>
      <w:lvlJc w:val="left"/>
      <w:pPr>
        <w:ind w:left="5560" w:hanging="721"/>
      </w:pPr>
      <w:rPr>
        <w:rFonts w:hint="default"/>
      </w:rPr>
    </w:lvl>
    <w:lvl w:ilvl="6" w:tplc="1BF83898">
      <w:numFmt w:val="bullet"/>
      <w:lvlText w:val="•"/>
      <w:lvlJc w:val="left"/>
      <w:pPr>
        <w:ind w:left="6432" w:hanging="721"/>
      </w:pPr>
      <w:rPr>
        <w:rFonts w:hint="default"/>
      </w:rPr>
    </w:lvl>
    <w:lvl w:ilvl="7" w:tplc="88AE0E26">
      <w:numFmt w:val="bullet"/>
      <w:lvlText w:val="•"/>
      <w:lvlJc w:val="left"/>
      <w:pPr>
        <w:ind w:left="7304" w:hanging="721"/>
      </w:pPr>
      <w:rPr>
        <w:rFonts w:hint="default"/>
      </w:rPr>
    </w:lvl>
    <w:lvl w:ilvl="8" w:tplc="042429AA">
      <w:numFmt w:val="bullet"/>
      <w:lvlText w:val="•"/>
      <w:lvlJc w:val="left"/>
      <w:pPr>
        <w:ind w:left="8176" w:hanging="721"/>
      </w:pPr>
      <w:rPr>
        <w:rFonts w:hint="default"/>
      </w:rPr>
    </w:lvl>
  </w:abstractNum>
  <w:abstractNum w:abstractNumId="2" w15:restartNumberingAfterBreak="0">
    <w:nsid w:val="47B65BA5"/>
    <w:multiLevelType w:val="hybridMultilevel"/>
    <w:tmpl w:val="314ED986"/>
    <w:lvl w:ilvl="0" w:tplc="7EC4A7EE">
      <w:start w:val="1"/>
      <w:numFmt w:val="decimal"/>
      <w:lvlText w:val="%1."/>
      <w:lvlJc w:val="left"/>
      <w:pPr>
        <w:ind w:left="1107" w:hanging="627"/>
        <w:jc w:val="left"/>
      </w:pPr>
      <w:rPr>
        <w:rFonts w:ascii="Arial" w:eastAsia="Arial" w:hAnsi="Arial" w:cs="Arial" w:hint="default"/>
        <w:w w:val="99"/>
        <w:sz w:val="24"/>
        <w:szCs w:val="24"/>
      </w:rPr>
    </w:lvl>
    <w:lvl w:ilvl="1" w:tplc="074EAC48">
      <w:numFmt w:val="bullet"/>
      <w:lvlText w:val="•"/>
      <w:lvlJc w:val="left"/>
      <w:pPr>
        <w:ind w:left="1982" w:hanging="627"/>
      </w:pPr>
      <w:rPr>
        <w:rFonts w:hint="default"/>
      </w:rPr>
    </w:lvl>
    <w:lvl w:ilvl="2" w:tplc="E5AEDD9E">
      <w:numFmt w:val="bullet"/>
      <w:lvlText w:val="•"/>
      <w:lvlJc w:val="left"/>
      <w:pPr>
        <w:ind w:left="2864" w:hanging="627"/>
      </w:pPr>
      <w:rPr>
        <w:rFonts w:hint="default"/>
      </w:rPr>
    </w:lvl>
    <w:lvl w:ilvl="3" w:tplc="ACD88B46">
      <w:numFmt w:val="bullet"/>
      <w:lvlText w:val="•"/>
      <w:lvlJc w:val="left"/>
      <w:pPr>
        <w:ind w:left="3746" w:hanging="627"/>
      </w:pPr>
      <w:rPr>
        <w:rFonts w:hint="default"/>
      </w:rPr>
    </w:lvl>
    <w:lvl w:ilvl="4" w:tplc="685E5AC6">
      <w:numFmt w:val="bullet"/>
      <w:lvlText w:val="•"/>
      <w:lvlJc w:val="left"/>
      <w:pPr>
        <w:ind w:left="4628" w:hanging="627"/>
      </w:pPr>
      <w:rPr>
        <w:rFonts w:hint="default"/>
      </w:rPr>
    </w:lvl>
    <w:lvl w:ilvl="5" w:tplc="D2C0B0A6">
      <w:numFmt w:val="bullet"/>
      <w:lvlText w:val="•"/>
      <w:lvlJc w:val="left"/>
      <w:pPr>
        <w:ind w:left="5510" w:hanging="627"/>
      </w:pPr>
      <w:rPr>
        <w:rFonts w:hint="default"/>
      </w:rPr>
    </w:lvl>
    <w:lvl w:ilvl="6" w:tplc="69C048E6">
      <w:numFmt w:val="bullet"/>
      <w:lvlText w:val="•"/>
      <w:lvlJc w:val="left"/>
      <w:pPr>
        <w:ind w:left="6392" w:hanging="627"/>
      </w:pPr>
      <w:rPr>
        <w:rFonts w:hint="default"/>
      </w:rPr>
    </w:lvl>
    <w:lvl w:ilvl="7" w:tplc="288CE2DA">
      <w:numFmt w:val="bullet"/>
      <w:lvlText w:val="•"/>
      <w:lvlJc w:val="left"/>
      <w:pPr>
        <w:ind w:left="7274" w:hanging="627"/>
      </w:pPr>
      <w:rPr>
        <w:rFonts w:hint="default"/>
      </w:rPr>
    </w:lvl>
    <w:lvl w:ilvl="8" w:tplc="80688BAC">
      <w:numFmt w:val="bullet"/>
      <w:lvlText w:val="•"/>
      <w:lvlJc w:val="left"/>
      <w:pPr>
        <w:ind w:left="8156" w:hanging="627"/>
      </w:pPr>
      <w:rPr>
        <w:rFonts w:hint="default"/>
      </w:rPr>
    </w:lvl>
  </w:abstractNum>
  <w:abstractNum w:abstractNumId="3" w15:restartNumberingAfterBreak="0">
    <w:nsid w:val="49131A73"/>
    <w:multiLevelType w:val="hybridMultilevel"/>
    <w:tmpl w:val="AB6017D4"/>
    <w:lvl w:ilvl="0" w:tplc="67C21B7C">
      <w:start w:val="1"/>
      <w:numFmt w:val="upperRoman"/>
      <w:lvlText w:val="%1."/>
      <w:lvlJc w:val="left"/>
      <w:pPr>
        <w:ind w:left="1200" w:hanging="720"/>
        <w:jc w:val="left"/>
      </w:pPr>
      <w:rPr>
        <w:rFonts w:ascii="Arial" w:eastAsia="Arial" w:hAnsi="Arial" w:cs="Arial" w:hint="default"/>
        <w:b/>
        <w:bCs/>
        <w:w w:val="99"/>
        <w:sz w:val="24"/>
        <w:szCs w:val="24"/>
      </w:rPr>
    </w:lvl>
    <w:lvl w:ilvl="1" w:tplc="BED0C1D2">
      <w:start w:val="1"/>
      <w:numFmt w:val="decimal"/>
      <w:lvlText w:val="%2."/>
      <w:lvlJc w:val="left"/>
      <w:pPr>
        <w:ind w:left="1560" w:hanging="361"/>
        <w:jc w:val="left"/>
      </w:pPr>
      <w:rPr>
        <w:rFonts w:ascii="Arial" w:eastAsia="Arial" w:hAnsi="Arial" w:cs="Arial" w:hint="default"/>
        <w:b/>
        <w:bCs/>
        <w:w w:val="99"/>
        <w:sz w:val="24"/>
        <w:szCs w:val="24"/>
      </w:rPr>
    </w:lvl>
    <w:lvl w:ilvl="2" w:tplc="50C6187E">
      <w:start w:val="1"/>
      <w:numFmt w:val="lowerLetter"/>
      <w:lvlText w:val="%3."/>
      <w:lvlJc w:val="left"/>
      <w:pPr>
        <w:ind w:left="1893" w:hanging="334"/>
        <w:jc w:val="left"/>
      </w:pPr>
      <w:rPr>
        <w:rFonts w:ascii="Arial" w:eastAsia="Arial" w:hAnsi="Arial" w:cs="Arial" w:hint="default"/>
        <w:b/>
        <w:bCs/>
        <w:w w:val="99"/>
        <w:sz w:val="24"/>
        <w:szCs w:val="24"/>
      </w:rPr>
    </w:lvl>
    <w:lvl w:ilvl="3" w:tplc="0F84A926">
      <w:numFmt w:val="bullet"/>
      <w:lvlText w:val="•"/>
      <w:lvlJc w:val="left"/>
      <w:pPr>
        <w:ind w:left="2360" w:hanging="334"/>
      </w:pPr>
      <w:rPr>
        <w:rFonts w:hint="default"/>
      </w:rPr>
    </w:lvl>
    <w:lvl w:ilvl="4" w:tplc="A498FA54">
      <w:numFmt w:val="bullet"/>
      <w:lvlText w:val="•"/>
      <w:lvlJc w:val="left"/>
      <w:pPr>
        <w:ind w:left="3440" w:hanging="334"/>
      </w:pPr>
      <w:rPr>
        <w:rFonts w:hint="default"/>
      </w:rPr>
    </w:lvl>
    <w:lvl w:ilvl="5" w:tplc="F912D860">
      <w:numFmt w:val="bullet"/>
      <w:lvlText w:val="•"/>
      <w:lvlJc w:val="left"/>
      <w:pPr>
        <w:ind w:left="4520" w:hanging="334"/>
      </w:pPr>
      <w:rPr>
        <w:rFonts w:hint="default"/>
      </w:rPr>
    </w:lvl>
    <w:lvl w:ilvl="6" w:tplc="8638AF2E">
      <w:numFmt w:val="bullet"/>
      <w:lvlText w:val="•"/>
      <w:lvlJc w:val="left"/>
      <w:pPr>
        <w:ind w:left="5600" w:hanging="334"/>
      </w:pPr>
      <w:rPr>
        <w:rFonts w:hint="default"/>
      </w:rPr>
    </w:lvl>
    <w:lvl w:ilvl="7" w:tplc="23FAA660">
      <w:numFmt w:val="bullet"/>
      <w:lvlText w:val="•"/>
      <w:lvlJc w:val="left"/>
      <w:pPr>
        <w:ind w:left="6680" w:hanging="334"/>
      </w:pPr>
      <w:rPr>
        <w:rFonts w:hint="default"/>
      </w:rPr>
    </w:lvl>
    <w:lvl w:ilvl="8" w:tplc="25685AFA">
      <w:numFmt w:val="bullet"/>
      <w:lvlText w:val="•"/>
      <w:lvlJc w:val="left"/>
      <w:pPr>
        <w:ind w:left="7760" w:hanging="334"/>
      </w:pPr>
      <w:rPr>
        <w:rFonts w:hint="default"/>
      </w:rPr>
    </w:lvl>
  </w:abstractNum>
  <w:abstractNum w:abstractNumId="4" w15:restartNumberingAfterBreak="0">
    <w:nsid w:val="59E44216"/>
    <w:multiLevelType w:val="hybridMultilevel"/>
    <w:tmpl w:val="039CE362"/>
    <w:lvl w:ilvl="0" w:tplc="A8321CE8">
      <w:start w:val="1"/>
      <w:numFmt w:val="decimal"/>
      <w:lvlText w:val="%1."/>
      <w:lvlJc w:val="left"/>
      <w:pPr>
        <w:ind w:left="1200" w:hanging="721"/>
        <w:jc w:val="left"/>
      </w:pPr>
      <w:rPr>
        <w:rFonts w:ascii="Arial" w:eastAsia="Arial" w:hAnsi="Arial" w:cs="Arial" w:hint="default"/>
        <w:w w:val="99"/>
        <w:sz w:val="24"/>
        <w:szCs w:val="24"/>
      </w:rPr>
    </w:lvl>
    <w:lvl w:ilvl="1" w:tplc="4BAA257C">
      <w:numFmt w:val="bullet"/>
      <w:lvlText w:val="•"/>
      <w:lvlJc w:val="left"/>
      <w:pPr>
        <w:ind w:left="2072" w:hanging="721"/>
      </w:pPr>
      <w:rPr>
        <w:rFonts w:hint="default"/>
      </w:rPr>
    </w:lvl>
    <w:lvl w:ilvl="2" w:tplc="8D6A94C4">
      <w:numFmt w:val="bullet"/>
      <w:lvlText w:val="•"/>
      <w:lvlJc w:val="left"/>
      <w:pPr>
        <w:ind w:left="2944" w:hanging="721"/>
      </w:pPr>
      <w:rPr>
        <w:rFonts w:hint="default"/>
      </w:rPr>
    </w:lvl>
    <w:lvl w:ilvl="3" w:tplc="B35A0140">
      <w:numFmt w:val="bullet"/>
      <w:lvlText w:val="•"/>
      <w:lvlJc w:val="left"/>
      <w:pPr>
        <w:ind w:left="3816" w:hanging="721"/>
      </w:pPr>
      <w:rPr>
        <w:rFonts w:hint="default"/>
      </w:rPr>
    </w:lvl>
    <w:lvl w:ilvl="4" w:tplc="685E6214">
      <w:numFmt w:val="bullet"/>
      <w:lvlText w:val="•"/>
      <w:lvlJc w:val="left"/>
      <w:pPr>
        <w:ind w:left="4688" w:hanging="721"/>
      </w:pPr>
      <w:rPr>
        <w:rFonts w:hint="default"/>
      </w:rPr>
    </w:lvl>
    <w:lvl w:ilvl="5" w:tplc="320A0BAC">
      <w:numFmt w:val="bullet"/>
      <w:lvlText w:val="•"/>
      <w:lvlJc w:val="left"/>
      <w:pPr>
        <w:ind w:left="5560" w:hanging="721"/>
      </w:pPr>
      <w:rPr>
        <w:rFonts w:hint="default"/>
      </w:rPr>
    </w:lvl>
    <w:lvl w:ilvl="6" w:tplc="34701490">
      <w:numFmt w:val="bullet"/>
      <w:lvlText w:val="•"/>
      <w:lvlJc w:val="left"/>
      <w:pPr>
        <w:ind w:left="6432" w:hanging="721"/>
      </w:pPr>
      <w:rPr>
        <w:rFonts w:hint="default"/>
      </w:rPr>
    </w:lvl>
    <w:lvl w:ilvl="7" w:tplc="171029E6">
      <w:numFmt w:val="bullet"/>
      <w:lvlText w:val="•"/>
      <w:lvlJc w:val="left"/>
      <w:pPr>
        <w:ind w:left="7304" w:hanging="721"/>
      </w:pPr>
      <w:rPr>
        <w:rFonts w:hint="default"/>
      </w:rPr>
    </w:lvl>
    <w:lvl w:ilvl="8" w:tplc="CA64FA28">
      <w:numFmt w:val="bullet"/>
      <w:lvlText w:val="•"/>
      <w:lvlJc w:val="left"/>
      <w:pPr>
        <w:ind w:left="8176" w:hanging="721"/>
      </w:pPr>
      <w:rPr>
        <w:rFonts w:hint="default"/>
      </w:rPr>
    </w:lvl>
  </w:abstractNum>
  <w:abstractNum w:abstractNumId="5" w15:restartNumberingAfterBreak="0">
    <w:nsid w:val="6F793B32"/>
    <w:multiLevelType w:val="hybridMultilevel"/>
    <w:tmpl w:val="3D6A548E"/>
    <w:lvl w:ilvl="0" w:tplc="33FC9906">
      <w:start w:val="1"/>
      <w:numFmt w:val="decimal"/>
      <w:lvlText w:val="%1."/>
      <w:lvlJc w:val="left"/>
      <w:pPr>
        <w:ind w:left="1105" w:hanging="626"/>
        <w:jc w:val="left"/>
      </w:pPr>
      <w:rPr>
        <w:rFonts w:ascii="Arial" w:eastAsia="Arial" w:hAnsi="Arial" w:cs="Arial" w:hint="default"/>
        <w:w w:val="99"/>
        <w:sz w:val="24"/>
        <w:szCs w:val="24"/>
      </w:rPr>
    </w:lvl>
    <w:lvl w:ilvl="1" w:tplc="DFD0DE4E">
      <w:numFmt w:val="bullet"/>
      <w:lvlText w:val="•"/>
      <w:lvlJc w:val="left"/>
      <w:pPr>
        <w:ind w:left="1982" w:hanging="626"/>
      </w:pPr>
      <w:rPr>
        <w:rFonts w:hint="default"/>
      </w:rPr>
    </w:lvl>
    <w:lvl w:ilvl="2" w:tplc="E0B0839C">
      <w:numFmt w:val="bullet"/>
      <w:lvlText w:val="•"/>
      <w:lvlJc w:val="left"/>
      <w:pPr>
        <w:ind w:left="2864" w:hanging="626"/>
      </w:pPr>
      <w:rPr>
        <w:rFonts w:hint="default"/>
      </w:rPr>
    </w:lvl>
    <w:lvl w:ilvl="3" w:tplc="911C6AFE">
      <w:numFmt w:val="bullet"/>
      <w:lvlText w:val="•"/>
      <w:lvlJc w:val="left"/>
      <w:pPr>
        <w:ind w:left="3746" w:hanging="626"/>
      </w:pPr>
      <w:rPr>
        <w:rFonts w:hint="default"/>
      </w:rPr>
    </w:lvl>
    <w:lvl w:ilvl="4" w:tplc="FA8C7526">
      <w:numFmt w:val="bullet"/>
      <w:lvlText w:val="•"/>
      <w:lvlJc w:val="left"/>
      <w:pPr>
        <w:ind w:left="4628" w:hanging="626"/>
      </w:pPr>
      <w:rPr>
        <w:rFonts w:hint="default"/>
      </w:rPr>
    </w:lvl>
    <w:lvl w:ilvl="5" w:tplc="D84EC4CC">
      <w:numFmt w:val="bullet"/>
      <w:lvlText w:val="•"/>
      <w:lvlJc w:val="left"/>
      <w:pPr>
        <w:ind w:left="5510" w:hanging="626"/>
      </w:pPr>
      <w:rPr>
        <w:rFonts w:hint="default"/>
      </w:rPr>
    </w:lvl>
    <w:lvl w:ilvl="6" w:tplc="3CE2F6AC">
      <w:numFmt w:val="bullet"/>
      <w:lvlText w:val="•"/>
      <w:lvlJc w:val="left"/>
      <w:pPr>
        <w:ind w:left="6392" w:hanging="626"/>
      </w:pPr>
      <w:rPr>
        <w:rFonts w:hint="default"/>
      </w:rPr>
    </w:lvl>
    <w:lvl w:ilvl="7" w:tplc="BFB4DF40">
      <w:numFmt w:val="bullet"/>
      <w:lvlText w:val="•"/>
      <w:lvlJc w:val="left"/>
      <w:pPr>
        <w:ind w:left="7274" w:hanging="626"/>
      </w:pPr>
      <w:rPr>
        <w:rFonts w:hint="default"/>
      </w:rPr>
    </w:lvl>
    <w:lvl w:ilvl="8" w:tplc="23200CDE">
      <w:numFmt w:val="bullet"/>
      <w:lvlText w:val="•"/>
      <w:lvlJc w:val="left"/>
      <w:pPr>
        <w:ind w:left="8156" w:hanging="626"/>
      </w:pPr>
      <w:rPr>
        <w:rFont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64"/>
    <w:rsid w:val="0007429C"/>
    <w:rsid w:val="00114BBF"/>
    <w:rsid w:val="0037261E"/>
    <w:rsid w:val="003C1164"/>
    <w:rsid w:val="004A1401"/>
    <w:rsid w:val="005657ED"/>
    <w:rsid w:val="005C6D63"/>
    <w:rsid w:val="005C7F24"/>
    <w:rsid w:val="008A6D06"/>
    <w:rsid w:val="00954A42"/>
    <w:rsid w:val="00B92574"/>
    <w:rsid w:val="00EA67A7"/>
    <w:rsid w:val="00EB6F6D"/>
    <w:rsid w:val="00EE3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1E4C548A-74DD-4DFD-95E1-06C0E0AF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56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nfo@dr-w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LLDAL@dshs.w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5042</Words>
  <Characters>28745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Microsoft Word - NGRI Publication FINAL no FNs</vt:lpstr>
    </vt:vector>
  </TitlesOfParts>
  <Company/>
  <LinksUpToDate>false</LinksUpToDate>
  <CharactersWithSpaces>33720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NGRI Publication FINAL no FNs</dc:title>
  <dc:creator>Kimberlym</dc:creator>
  <cp:lastModifiedBy>Alexandra Deas</cp:lastModifiedBy>
  <cp:revision>2</cp:revision>
  <dcterms:created xsi:type="dcterms:W3CDTF">2020-05-12T22:48:00Z</dcterms:created>
  <dcterms:modified xsi:type="dcterms:W3CDTF">2020-05-12T22:48:00Z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LastSaved">
    <vt:filetime>2020-03-26T00:00:00Z</vt:filetime>
  </property>
</Properties>
</file>